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2"/>
          <w:w w:val="87"/>
          <w:kern w:val="0"/>
          <w:sz w:val="96"/>
          <w:szCs w:val="96"/>
          <w:fitText w:val="8208" w:id="0"/>
        </w:rPr>
        <w:t>白河县农业</w:t>
      </w:r>
      <w:r>
        <w:rPr>
          <w:rFonts w:hint="eastAsia" w:ascii="方正小标宋简体" w:eastAsia="方正小标宋简体"/>
          <w:color w:val="FF0000"/>
          <w:spacing w:val="12"/>
          <w:w w:val="87"/>
          <w:kern w:val="0"/>
          <w:sz w:val="96"/>
          <w:szCs w:val="96"/>
          <w:fitText w:val="8208" w:id="0"/>
          <w:lang w:val="en-US" w:eastAsia="zh-CN"/>
        </w:rPr>
        <w:t>技术推广站</w:t>
      </w:r>
    </w:p>
    <w:p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rFonts w:hint="eastAsia" w:ascii="Calibr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6007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5pt;height:0pt;width:441pt;z-index:251658240;mso-width-relative:page;mso-height-relative:page;" filled="f" stroked="t" coordsize="21600,21600" o:gfxdata="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0jez0QAAAAYBAAAPAAAA&#10;AAAAAAEAIAAAACIAAABkcnMvZG93bnJldi54bWxQSwECFAAUAAAACACHTuJAbtOezeMBAACrAwAA&#10;DgAAAAAAAAABACAAAAAgAQAAZHJzL2Uyb0RvYy54bWxQSwUGAAAAAAYABgBZAQAAd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 xml:space="preserve">                   </w:t>
      </w:r>
    </w:p>
    <w:p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>
      <w:pPr>
        <w:spacing w:line="2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白河县2024年粮油生产保障-扩种油菜（第二批）项目资金使用方案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按照《安康市农业农村局关于印发2024年粮油生产保障资金实施方案的通知》（安农计财〔2024〕27号）文件精神，下达白河县中央财政粮油生产保障资金（扩种油菜）78万元（提前下达70万，此次下达8万元）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，为做好我县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2024年中央财政粮油生产保障资金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（扩种油菜）实施工作，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特制订此方案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省市对该项粮油生产保障项目资金使用要求，并结合我县生产发展实际，本次资金实施范围为县域内油菜扩种的地域，实施对象原则上为开发冬闲田扩种冬油菜的生产经营主体，包括种植大户、家庭农场、农民专业合作社、农业企业、村集体经济组织等，全县实施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5200亩（提前已经实施4666亩，本次实施534亩）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实施标准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按照省市农业生产发展项目资金要求，补贴标准以扩大油菜种植验收完成面积为基准，每亩补助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标准150元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。资金可以补贴种子、化肥、农药、农机具服务等物化成本，也可以以现金方式直接补助种植户。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资金补助流程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组织辖区内符合补贴条件的油菜种植规模经营主体进行申报，并提供耕地流转协议、代耕代种协议等佐证材料。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相关镇政府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组成核查验收组，按照申报条件，进行实地考察、综合评审，提出核查验收意见。经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核查验收的经营主体、完成面积及补助金额，要分别在经营主体从事经营或服务所在的行政村张榜公示，并在镇级信息网上同时进行公示，公示期不少于7天。公示结束后，由镇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登记造册，将补助资金奖补到户。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所有兑付资料报县农业农村局存档。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按照粮食安全党政同责的要求，对本次纳入补贴的，各镇政府要加强统筹协调，依据202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生产计划组织落实，建立健全分工负责的工作机制，加快抓好工作落实。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（二）严格技术标准。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要严格按照“六定六统一”领导抓点示范模式，即“定包抓领导、统一制作示范牌，定地点、统一播种时间，定规模、统一指导管理，定作物、统一种植品种，定模式、统一技术规范，定技术负责单位（人员）、统一跟进示范（服务）”，对未按要求进行规范种植的，一律不予拔付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（三）强化资金监管。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镇要切实加强资金监管，强化支出责任，确保专款专用，资金主要用油菜扩种的种植户或经营主体补助。要严格资金事前现场抽查审核、事中随机抽查、事后专项核查等，强化资金的审核和监管。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（四）做好绩效管理。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镇按照农业专项资金管理有关规定做好绩效管理，绩效目标填报要与投入金额相匹配，清晰反映资金使用效果，确保绩效目标如期实现。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白河县2024年粮油生产保障-扩种油菜（第二批）项目资金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text" w:horzAnchor="page" w:tblpX="1855" w:tblpY="1532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8"/>
        <w:gridCol w:w="1849"/>
        <w:gridCol w:w="1848"/>
        <w:gridCol w:w="2"/>
        <w:gridCol w:w="184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3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本次下达</w:t>
            </w: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扩种面积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宋家镇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  <w:t>534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  <w:t>80000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 计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  <w:t>534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highlight w:val="none"/>
                <w:lang w:val="en-US" w:eastAsia="zh-CN"/>
              </w:rPr>
              <w:t>80000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白河县2024年粮油生产保障-扩种油菜（第二批）项目资金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分配计划表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ODE3ZDljYTI0OTNiNTM1OGZkNTIzNDk1YmM5YTkifQ=="/>
  </w:docVars>
  <w:rsids>
    <w:rsidRoot w:val="00172A27"/>
    <w:rsid w:val="013F69CD"/>
    <w:rsid w:val="02123F4C"/>
    <w:rsid w:val="03530854"/>
    <w:rsid w:val="03964843"/>
    <w:rsid w:val="03F22314"/>
    <w:rsid w:val="04F76EFB"/>
    <w:rsid w:val="08825199"/>
    <w:rsid w:val="08F93C9F"/>
    <w:rsid w:val="0A8E1FC5"/>
    <w:rsid w:val="0C4B3386"/>
    <w:rsid w:val="0C527703"/>
    <w:rsid w:val="0C7762BB"/>
    <w:rsid w:val="0EFD4BAC"/>
    <w:rsid w:val="102C7C03"/>
    <w:rsid w:val="126627AC"/>
    <w:rsid w:val="12F24591"/>
    <w:rsid w:val="16A8423D"/>
    <w:rsid w:val="1CF50BE0"/>
    <w:rsid w:val="1D2E0B6D"/>
    <w:rsid w:val="1E057737"/>
    <w:rsid w:val="220457B0"/>
    <w:rsid w:val="23AF112F"/>
    <w:rsid w:val="25415EAB"/>
    <w:rsid w:val="25DF264D"/>
    <w:rsid w:val="279956AC"/>
    <w:rsid w:val="28727704"/>
    <w:rsid w:val="353858A9"/>
    <w:rsid w:val="36BB0DB0"/>
    <w:rsid w:val="3B092C26"/>
    <w:rsid w:val="3F811172"/>
    <w:rsid w:val="405D2807"/>
    <w:rsid w:val="4123594D"/>
    <w:rsid w:val="493A153D"/>
    <w:rsid w:val="49907A40"/>
    <w:rsid w:val="4E4D5A30"/>
    <w:rsid w:val="4F8A0E3E"/>
    <w:rsid w:val="51883945"/>
    <w:rsid w:val="545876DE"/>
    <w:rsid w:val="545F1D96"/>
    <w:rsid w:val="565B5FFB"/>
    <w:rsid w:val="58B76DE5"/>
    <w:rsid w:val="5B097E32"/>
    <w:rsid w:val="5DCF1BDC"/>
    <w:rsid w:val="60F113AB"/>
    <w:rsid w:val="6181280A"/>
    <w:rsid w:val="65433079"/>
    <w:rsid w:val="65C2779A"/>
    <w:rsid w:val="67431AA4"/>
    <w:rsid w:val="67803FAE"/>
    <w:rsid w:val="6B8464E0"/>
    <w:rsid w:val="6D4326FF"/>
    <w:rsid w:val="76A12445"/>
    <w:rsid w:val="77FD46F2"/>
    <w:rsid w:val="781D6AF1"/>
    <w:rsid w:val="7942131F"/>
    <w:rsid w:val="79AA71A0"/>
    <w:rsid w:val="7CC60348"/>
    <w:rsid w:val="7F4F0963"/>
    <w:rsid w:val="7FE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4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2023-11-17T06:19:00Z</cp:lastPrinted>
  <dcterms:modified xsi:type="dcterms:W3CDTF">2025-04-02T07:06:33Z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B22B7546BF40487E951805755D9A672A_12</vt:lpwstr>
  </property>
</Properties>
</file>