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color w:val="FF0000"/>
          <w:spacing w:val="-57"/>
          <w:w w:val="75"/>
          <w:sz w:val="110"/>
          <w:szCs w:val="110"/>
        </w:rPr>
      </w:pPr>
      <w:r>
        <w:rPr>
          <w:rFonts w:ascii="宋体" w:hAnsi="宋体" w:cs="宋体"/>
          <w:spacing w:val="-57"/>
          <w:w w:val="7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970915</wp:posOffset>
                </wp:positionV>
                <wp:extent cx="54864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95pt;margin-top:76.45pt;height:0pt;width:432pt;z-index:251660288;mso-width-relative:page;mso-height-relative:page;" filled="f" stroked="t" coordsize="21600,21600" o:gfxdata="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YM1iTUAAAACgEA&#10;AA8AAAAAAAAAAQAgAAAAIgAAAGRycy9kb3ducmV2LnhtbFBLAQIUABQAAAAIAIdO4kAIheeU5QEA&#10;AKsDAAAOAAAAAAAAAAEAIAAAACMBAABkcnMvZTJvRG9jLnhtbFBLBQYAAAAABgAGAFkBAAB6BQAA&#10;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FF0000"/>
          <w:spacing w:val="-57"/>
          <w:w w:val="75"/>
          <w:sz w:val="110"/>
          <w:szCs w:val="110"/>
          <w:lang w:eastAsia="zh-CN"/>
        </w:rPr>
        <w:t>安康市生态环境局</w:t>
      </w:r>
      <w:r>
        <w:rPr>
          <w:rFonts w:hint="eastAsia"/>
          <w:b/>
          <w:color w:val="FF0000"/>
          <w:spacing w:val="-57"/>
          <w:w w:val="75"/>
          <w:sz w:val="110"/>
          <w:szCs w:val="110"/>
        </w:rPr>
        <w:t>白河</w:t>
      </w:r>
      <w:r>
        <w:rPr>
          <w:rFonts w:hint="eastAsia"/>
          <w:b/>
          <w:color w:val="FF0000"/>
          <w:spacing w:val="-57"/>
          <w:w w:val="75"/>
          <w:sz w:val="110"/>
          <w:szCs w:val="110"/>
          <w:lang w:eastAsia="zh-CN"/>
        </w:rPr>
        <w:t>分</w:t>
      </w:r>
      <w:r>
        <w:rPr>
          <w:rFonts w:hint="eastAsia"/>
          <w:b/>
          <w:color w:val="FF0000"/>
          <w:spacing w:val="-57"/>
          <w:w w:val="75"/>
          <w:sz w:val="110"/>
          <w:szCs w:val="110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白环批复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安康市生态环境局白河分局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关于白河县殡仪馆建设项目环境影响报告表的批复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白河县民政局</w:t>
      </w:r>
      <w:r>
        <w:rPr>
          <w:rFonts w:hint="eastAsia" w:ascii="仿宋_GB2312" w:hAnsi="Times New Roman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你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报来的《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白河县殡仪馆建设项目环境影响报告表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》及相</w:t>
      </w:r>
      <w:r>
        <w:rPr>
          <w:rFonts w:hint="eastAsia" w:ascii="仿宋_GB2312" w:eastAsia="仿宋_GB2312" w:cs="仿宋_GB2312"/>
          <w:sz w:val="32"/>
          <w:szCs w:val="32"/>
        </w:rPr>
        <w:t>关报批要件收悉。经研究，批复如下：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白河县殡仪馆建设项目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位于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陕西省安康市白河县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城关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旬白路211号，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总投</w:t>
      </w:r>
      <w:r>
        <w:rPr>
          <w:rFonts w:hint="eastAsia" w:ascii="仿宋_GB2312" w:eastAsia="仿宋_GB2312" w:cs="仿宋_GB2312"/>
          <w:sz w:val="32"/>
          <w:szCs w:val="32"/>
        </w:rPr>
        <w:t>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1000万</w:t>
      </w:r>
      <w:r>
        <w:rPr>
          <w:rFonts w:hint="eastAsia" w:ascii="仿宋_GB2312" w:eastAsia="仿宋_GB2312" w:cs="仿宋_GB2312"/>
          <w:sz w:val="32"/>
          <w:szCs w:val="32"/>
        </w:rPr>
        <w:t>元，其中环保投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资129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。项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新建吊唁厅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2栋，火化楼、骨灰楼各一栋，配套建设停车区、给排水、绿化、照明、消防等附属设施，涉及年火化尸体800具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经审查，该项目符合国家产业政策，在采取</w:t>
      </w:r>
      <w:r>
        <w:rPr>
          <w:rFonts w:hint="eastAsia" w:asci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白河县殡仪馆建设项目环境影响报告表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提出的污染防治措施后，污染物可做到达标排放。该项目环境影响报告表中所列建设项目的性质、规模、地点、生产工艺和拟采取的环境保护措施可作为项目实施的依据。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401955</wp:posOffset>
                </wp:positionV>
                <wp:extent cx="5467350" cy="38100"/>
                <wp:effectExtent l="0" t="10795" r="0" b="273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08710" y="9496425"/>
                          <a:ext cx="5467350" cy="3810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95pt;margin-top:31.65pt;height:3pt;width:430.5pt;z-index:251661312;mso-width-relative:page;mso-height-relative:page;" filled="f" stroked="t" coordsize="21600,21600" o:gfxdata="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ujGqvXAAAACAEAAA8AAAAAAAAA&#10;AQAgAAAAIgAAAGRycy9kb3ducmV2LnhtbFBLAQIUABQAAAAIAIdO4kAnmr4n2QEAAGcDAAAOAAAA&#10;AAAAAAEAIAAAACYBAABkcnMvZTJvRG9jLnhtbFBLBQYAAAAABgAGAFkBAABxBQAAAAA=&#10;">
                <v:fill on="f" focussize="0,0"/>
                <v:stroke weight="1.7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二、项目建设与运营管理中应重点做好的工作</w:t>
      </w:r>
      <w:r>
        <w:rPr>
          <w:rFonts w:ascii="仿宋" w:hAnsi="仿宋" w:eastAsia="仿宋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9421495</wp:posOffset>
                </wp:positionV>
                <wp:extent cx="5486400" cy="635"/>
                <wp:effectExtent l="0" t="15875" r="0" b="215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65pt;margin-top:741.85pt;height:0.05pt;width:432pt;z-index:251662336;mso-width-relative:page;mso-height-relative:page;" filled="f" stroked="t" coordsize="21600,21600" o:gfxdata="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kko6dwA&#10;AAAOAQAADwAAAAAAAAABACAAAAAiAAAAZHJzL2Rvd25yZXYueG1sUEsBAhQAFAAAAAgAh07iQJMv&#10;afbiAQAApwMAAA4AAAAAAAAAAQAgAAAAKwEAAGRycy9lMm9Eb2MueG1sUEsFBgAAAAAGAAYAWQEA&#10;AH8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你单位应严格按照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白河县殡仪馆建设项目环境影响报告表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 w:cs="仿宋_GB2312"/>
          <w:sz w:val="32"/>
          <w:szCs w:val="32"/>
        </w:rPr>
        <w:t>的要求，落实建设期和运营期的各项环境污染防治措施，同时重点做好以下工作：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建设期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应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重点</w:t>
      </w:r>
      <w:r>
        <w:rPr>
          <w:rFonts w:hint="eastAsia" w:ascii="楷体" w:hAnsi="楷体" w:eastAsia="楷体" w:cs="楷体"/>
          <w:sz w:val="32"/>
          <w:szCs w:val="32"/>
        </w:rPr>
        <w:t>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楷体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加强施工期的扬尘污染防治，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严格按照《陕西省建筑施工扬尘治理措施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》要求控制施工扬尘污染，落实六个百分之百标准要求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2、施工场地修建临时沉淀池，对施工期废水进行集中收集，施工废水经沉淀后上清液用于施工区域洒水抑尘，严禁外排。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3、尽量选用低噪声的施工机械，加强日常维护和保养，合理安排施工机械的工作时间，避免噪音扰民。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4、施工期产生的建筑垃圾分类回收利用或外售，对于不能回收利用的建筑垃圾要集中收集清运，临时存放过程中落实抑尘措施。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运营期应重点做好以下工作：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1、严格按照《白河县殡仪馆建设项目大气环境影响专项评价》要求，落实各项大气污染防治措施，并在运营过程中加强管理，确保火化炉废气达标排放。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2、按照“雨污分流、清污分流”要求建设厂区排水管网，地面清洗水、遗体清洗废水、车辆冲洗废水经消毒池消毒后排入化粪池处理，最终接市政污水管网排入白河县县城污水处理厂。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3、优先选用低噪声设备，并对设备采取隔声减振措施，加强设备维护与保养，避免因不正常运行而产生高噪声扰民。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  <w:outlineLvl w:val="9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4、按照《危险废物贮存污染控制标准》要求规范建设危险废物暂存间，安排人员进行日常管理，收尘灰、废活性炭、脱硫脱酸废渣与烟灰等危险废物均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暂存于危废暂存间，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定期交由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有资质单位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处理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，严禁一般固体废物与危险废物混放。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三、项目建设要严格执行环评“三同时”制度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建成后，你单位应按照《建设项目环境保护管理条例》、《建设项目竣工环境保护验收暂行办法》等法律法规规定的标准和程序，自行组织环保设施竣工验收，公示验收报告，公开验收信息，经验收合格后方可正式投入使用，运营期内，规范管理，加强生态环境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outlineLvl w:val="9"/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四、依法申领排污许可证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你单位在该项目建成后需在全省统一交易平台有偿取得排污权，依法申领排污许可证。生产经营过程中，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《排污许可管理条例》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eastAsia="zh-CN"/>
        </w:rPr>
        <w:t>要求编制自行监测方案，开展自行监测，按时上传自行监测数据和排污许可证执行报告。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、落实环境影响保护措施、公开环境信息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建设单位是建设项目选址、建设、运营全过程落实环境影响保护措施、公开环境信息的主体，应按照《建设项目环境影响评价信息公开机制方案》要求，依法依规公开项目环评信息，接受社会公众监督，并按规定接受各级生态环境主管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安康市生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态环境局白河分局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640" w:firstLineChars="200"/>
        <w:jc w:val="center"/>
        <w:textAlignment w:val="auto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2044"/>
    <w:multiLevelType w:val="singleLevel"/>
    <w:tmpl w:val="669F2044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4F"/>
    <w:rsid w:val="000033E6"/>
    <w:rsid w:val="0003121D"/>
    <w:rsid w:val="00081DA5"/>
    <w:rsid w:val="000C0FA8"/>
    <w:rsid w:val="0012053A"/>
    <w:rsid w:val="00181C4F"/>
    <w:rsid w:val="00227DB3"/>
    <w:rsid w:val="00266D8F"/>
    <w:rsid w:val="002A6062"/>
    <w:rsid w:val="003411BA"/>
    <w:rsid w:val="003A3DA9"/>
    <w:rsid w:val="003E4DF0"/>
    <w:rsid w:val="00413E82"/>
    <w:rsid w:val="00427624"/>
    <w:rsid w:val="00434C08"/>
    <w:rsid w:val="00493C0F"/>
    <w:rsid w:val="004D05C7"/>
    <w:rsid w:val="00526053"/>
    <w:rsid w:val="00617ECB"/>
    <w:rsid w:val="006431DE"/>
    <w:rsid w:val="00666EE0"/>
    <w:rsid w:val="0069541F"/>
    <w:rsid w:val="007D0091"/>
    <w:rsid w:val="007D4E44"/>
    <w:rsid w:val="007E12FE"/>
    <w:rsid w:val="0082615F"/>
    <w:rsid w:val="0087614A"/>
    <w:rsid w:val="008A50A0"/>
    <w:rsid w:val="008E79BA"/>
    <w:rsid w:val="0099379F"/>
    <w:rsid w:val="009A3378"/>
    <w:rsid w:val="009A3CB5"/>
    <w:rsid w:val="009B3B2E"/>
    <w:rsid w:val="009C12E0"/>
    <w:rsid w:val="009D375C"/>
    <w:rsid w:val="009D58D6"/>
    <w:rsid w:val="00A2603A"/>
    <w:rsid w:val="00A47C25"/>
    <w:rsid w:val="00A6071B"/>
    <w:rsid w:val="00A614F4"/>
    <w:rsid w:val="00AA5C99"/>
    <w:rsid w:val="00B21230"/>
    <w:rsid w:val="00C25FCE"/>
    <w:rsid w:val="00C62BD1"/>
    <w:rsid w:val="00C81ABA"/>
    <w:rsid w:val="00D46589"/>
    <w:rsid w:val="00D60971"/>
    <w:rsid w:val="00E245B7"/>
    <w:rsid w:val="00E3197D"/>
    <w:rsid w:val="00F16051"/>
    <w:rsid w:val="00FA1F7F"/>
    <w:rsid w:val="00FA34C2"/>
    <w:rsid w:val="00FF393B"/>
    <w:rsid w:val="01AE631E"/>
    <w:rsid w:val="048E7436"/>
    <w:rsid w:val="1DD611A4"/>
    <w:rsid w:val="1E2D009D"/>
    <w:rsid w:val="1E970BAC"/>
    <w:rsid w:val="206E4A59"/>
    <w:rsid w:val="25BF5C42"/>
    <w:rsid w:val="27B6355A"/>
    <w:rsid w:val="289648E3"/>
    <w:rsid w:val="2D1144A0"/>
    <w:rsid w:val="31436CFF"/>
    <w:rsid w:val="401E1C87"/>
    <w:rsid w:val="41125EE9"/>
    <w:rsid w:val="4560044D"/>
    <w:rsid w:val="49193A43"/>
    <w:rsid w:val="49ED2674"/>
    <w:rsid w:val="4FD60F20"/>
    <w:rsid w:val="51202418"/>
    <w:rsid w:val="51D373AF"/>
    <w:rsid w:val="5F067E28"/>
    <w:rsid w:val="6A2A79B2"/>
    <w:rsid w:val="6FF81BBB"/>
    <w:rsid w:val="711A0020"/>
    <w:rsid w:val="74FB41B1"/>
    <w:rsid w:val="774658C2"/>
    <w:rsid w:val="78B85EBF"/>
    <w:rsid w:val="7963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3 Char"/>
    <w:basedOn w:val="5"/>
    <w:link w:val="2"/>
    <w:semiHidden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Header Char"/>
    <w:basedOn w:val="5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1359</Words>
  <Characters>1376</Characters>
  <Lines>0</Lines>
  <Paragraphs>0</Paragraphs>
  <TotalTime>0</TotalTime>
  <ScaleCrop>false</ScaleCrop>
  <LinksUpToDate>false</LinksUpToDate>
  <CharactersWithSpaces>1454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2021-02-04T01:38:00Z</dcterms:created>
  <dc:creator>Admin</dc:creator>
  <cp:lastModifiedBy>Administrator</cp:lastModifiedBy>
  <cp:lastPrinted>2023-05-05T06:39:00Z</cp:lastPrinted>
  <dcterms:modified xsi:type="dcterms:W3CDTF">2025-03-24T07:23:49Z</dcterms:modified>
  <dc:title>安康市生态环境局白河分局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