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白河县林业局</w:t>
      </w:r>
    </w:p>
    <w:p>
      <w:pPr>
        <w:spacing w:line="52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年度第</w:t>
      </w:r>
      <w:r>
        <w:rPr>
          <w:rFonts w:hint="eastAsia" w:ascii="方正小标宋简体" w:hAnsi="方正小标宋简体" w:eastAsia="方正小标宋简体" w:cs="方正小标宋简体"/>
          <w:sz w:val="44"/>
          <w:szCs w:val="44"/>
          <w:lang w:val="en-US" w:eastAsia="zh-CN"/>
        </w:rPr>
        <w:t>三</w:t>
      </w:r>
      <w:r>
        <w:rPr>
          <w:rFonts w:hint="eastAsia" w:ascii="方正小标宋简体" w:hAnsi="方正小标宋简体" w:eastAsia="方正小标宋简体" w:cs="方正小标宋简体"/>
          <w:sz w:val="44"/>
          <w:szCs w:val="44"/>
        </w:rPr>
        <w:t>批中央财政衔接推进乡村振兴</w:t>
      </w:r>
    </w:p>
    <w:p>
      <w:pPr>
        <w:spacing w:line="520" w:lineRule="exact"/>
        <w:jc w:val="center"/>
        <w:rPr>
          <w:rFonts w:hint="eastAsia" w:eastAsia="方正小标宋简体"/>
          <w:sz w:val="36"/>
          <w:szCs w:val="36"/>
        </w:rPr>
      </w:pPr>
      <w:r>
        <w:rPr>
          <w:rFonts w:hint="eastAsia" w:ascii="方正小标宋简体" w:hAnsi="方正小标宋简体" w:eastAsia="方正小标宋简体" w:cs="方正小标宋简体"/>
          <w:sz w:val="44"/>
          <w:szCs w:val="44"/>
        </w:rPr>
        <w:t>补助资金林业龙头企业建设奖补</w:t>
      </w:r>
      <w:r>
        <w:rPr>
          <w:rFonts w:hint="eastAsia" w:ascii="方正小标宋简体" w:hAnsi="方正小标宋简体" w:eastAsia="方正小标宋简体" w:cs="方正小标宋简体"/>
          <w:sz w:val="44"/>
          <w:szCs w:val="44"/>
          <w:lang w:val="en-US" w:eastAsia="zh-CN"/>
        </w:rPr>
        <w:t>项目</w:t>
      </w:r>
      <w:r>
        <w:rPr>
          <w:rFonts w:hint="eastAsia" w:ascii="方正小标宋简体" w:hAnsi="方正小标宋简体" w:eastAsia="方正小标宋简体" w:cs="方正小标宋简体"/>
          <w:sz w:val="44"/>
          <w:szCs w:val="44"/>
        </w:rPr>
        <w:t>方案</w:t>
      </w:r>
    </w:p>
    <w:p>
      <w:pPr>
        <w:spacing w:line="560" w:lineRule="exact"/>
        <w:ind w:left="622"/>
        <w:rPr>
          <w:rFonts w:hint="eastAsia" w:ascii="黑体" w:hAnsi="黑体" w:eastAsia="黑体" w:cs="仿宋_GB2312"/>
          <w:sz w:val="32"/>
          <w:szCs w:val="32"/>
        </w:rPr>
      </w:pPr>
      <w:r>
        <w:rPr>
          <w:rFonts w:ascii="黑体" w:hAnsi="黑体" w:eastAsia="黑体" w:cs="黑体"/>
          <w:sz w:val="32"/>
          <w:szCs w:val="32"/>
        </w:rPr>
        <w:t>一、编制依据</w:t>
      </w:r>
    </w:p>
    <w:p>
      <w:pPr>
        <w:spacing w:line="240" w:lineRule="auto"/>
        <w:ind w:left="0" w:firstLine="624" w:firstLineChars="200"/>
        <w:rPr>
          <w:rFonts w:hint="eastAsia" w:ascii="仿宋_GB2312" w:eastAsia="仿宋_GB2312"/>
          <w:sz w:val="32"/>
          <w:szCs w:val="32"/>
        </w:rPr>
      </w:pPr>
      <w:r>
        <w:rPr>
          <w:rFonts w:hint="eastAsia" w:ascii="仿宋_GB2312" w:eastAsia="仿宋_GB2312"/>
          <w:sz w:val="32"/>
          <w:szCs w:val="32"/>
        </w:rPr>
        <w:t>为贯彻《中共中央国务院关于实现巩固拓展脱贫攻坚成果同乡村振兴有效衔接的意见》精神，落实《国务院办公厅关于支持贫困县开展统筹整合使用财政涉农资金试点的意见》（国办发〔2016〕22号）、《关于继续支持脱贫县统筹整合使用财政涉农资金工作的通知》（财农〔2021〕22号）要求，依据财政部、农业农村部、国家乡村振兴局、国家发展改革委、国家民委、国家林草局《关于加强中央财政衔接推进乡村振兴补助资金使用管理的指导意见》（财农[2022]14号），安康财政局、安康市乡村振兴局、安康市发展和改革委员会、安康市委统战部、安康市农业农村局、安康市林业局关于印发《安康市财政衔接推进乡村振兴补助资金管理办法的通知》（安财农〔2021〕38号），《关于印发&lt;白河县财政衔接推进乡村振兴补助资金项目全流程管理办法（试行）&gt;的通知》（白乡振发[2022]5号）</w:t>
      </w:r>
      <w:r>
        <w:rPr>
          <w:rFonts w:hint="eastAsia" w:ascii="仿宋_GB2312" w:eastAsia="仿宋_GB2312"/>
          <w:sz w:val="32"/>
          <w:szCs w:val="32"/>
          <w:lang w:eastAsia="zh-CN"/>
        </w:rPr>
        <w:t>，</w:t>
      </w:r>
      <w:r>
        <w:rPr>
          <w:rFonts w:hint="eastAsia" w:ascii="仿宋_GB2312" w:eastAsia="仿宋_GB2312"/>
          <w:sz w:val="32"/>
          <w:szCs w:val="32"/>
        </w:rPr>
        <w:t>白河县乡村振兴局、白河县发展和改革局、白河县财政局《关于下达2024年度第三批中央财政衔接推进乡村振兴补助资金项目计划的通知》（白乡振发[202</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号）等文件精神，结合我县实际，特制定本方案。</w:t>
      </w:r>
    </w:p>
    <w:p>
      <w:pPr>
        <w:ind w:firstLine="624" w:firstLineChars="200"/>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工作</w:t>
      </w:r>
      <w:r>
        <w:rPr>
          <w:rFonts w:ascii="黑体" w:hAnsi="黑体" w:eastAsia="黑体"/>
          <w:sz w:val="32"/>
          <w:szCs w:val="32"/>
        </w:rPr>
        <w:t>思路和规划目标</w:t>
      </w:r>
    </w:p>
    <w:p>
      <w:pPr>
        <w:ind w:firstLine="622"/>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1.工作思路</w:t>
      </w:r>
    </w:p>
    <w:p>
      <w:pPr>
        <w:keepNext w:val="0"/>
        <w:keepLines w:val="0"/>
        <w:pageBreakBefore w:val="0"/>
        <w:widowControl w:val="0"/>
        <w:kinsoku/>
        <w:wordWrap/>
        <w:overflowPunct/>
        <w:topLinePunct w:val="0"/>
        <w:autoSpaceDE/>
        <w:autoSpaceDN/>
        <w:bidi w:val="0"/>
        <w:adjustRightInd/>
        <w:snapToGrid/>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产业龙头企业建设是木瓜产业发展的基石，在巩固脱贫攻坚成果有效助推乡村振兴中起着重要的示范引领作用，通过抓好木瓜龙头企业建设，以示范引领带动全县木瓜产业规范化发展和标准化的生产，从而达到提高产业经济效益，增加农民收益的目标。</w:t>
      </w:r>
    </w:p>
    <w:p>
      <w:pPr>
        <w:ind w:firstLine="622"/>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2.年度规划目标</w:t>
      </w:r>
    </w:p>
    <w:p>
      <w:pPr>
        <w:ind w:firstLine="624"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木瓜园提质增效管护提升200亩，通过科学的管理和合理的施肥、病虫害防治等措施，提高木瓜的产量和质量，以达到预期的经济效益和社会效益。</w:t>
      </w:r>
    </w:p>
    <w:p>
      <w:pPr>
        <w:spacing w:line="600" w:lineRule="exact"/>
        <w:ind w:firstLine="624" w:firstLineChars="200"/>
        <w:jc w:val="left"/>
        <w:rPr>
          <w:rFonts w:hint="default" w:ascii="楷体_GB2312" w:hAnsi="黑体" w:eastAsia="楷体_GB2312"/>
          <w:sz w:val="32"/>
          <w:szCs w:val="32"/>
          <w:lang w:val="en-US" w:eastAsia="zh-CN"/>
        </w:rPr>
      </w:pPr>
      <w:r>
        <w:rPr>
          <w:rFonts w:hint="eastAsia" w:ascii="黑体" w:hAnsi="黑体" w:eastAsia="黑体"/>
          <w:sz w:val="32"/>
          <w:szCs w:val="32"/>
        </w:rPr>
        <w:t>三、整合项目实施建设内容和区域</w:t>
      </w:r>
    </w:p>
    <w:p>
      <w:pPr>
        <w:spacing w:line="600" w:lineRule="exact"/>
        <w:ind w:firstLine="624" w:firstLineChars="200"/>
        <w:jc w:val="left"/>
        <w:rPr>
          <w:rFonts w:hint="default" w:ascii="黑体" w:hAnsi="黑体" w:eastAsia="黑体"/>
          <w:sz w:val="32"/>
          <w:szCs w:val="32"/>
          <w:lang w:val="en-US"/>
        </w:rPr>
      </w:pPr>
      <w:r>
        <w:rPr>
          <w:rFonts w:hint="eastAsia" w:ascii="仿宋_GB2312" w:hAnsi="仿宋_GB2312" w:eastAsia="仿宋_GB2312" w:cs="仿宋_GB2312"/>
          <w:sz w:val="32"/>
          <w:szCs w:val="32"/>
          <w:lang w:val="en-US" w:eastAsia="zh-CN"/>
        </w:rPr>
        <w:t>木瓜园提质增效管护提升200亩，在中厂镇石梯社区实施。</w:t>
      </w:r>
    </w:p>
    <w:p>
      <w:pPr>
        <w:spacing w:line="600" w:lineRule="exact"/>
        <w:ind w:firstLine="624" w:firstLineChars="200"/>
        <w:jc w:val="left"/>
        <w:rPr>
          <w:rFonts w:hint="eastAsia" w:ascii="黑体" w:hAnsi="黑体" w:eastAsia="黑体"/>
          <w:sz w:val="32"/>
          <w:szCs w:val="32"/>
        </w:rPr>
      </w:pPr>
      <w:r>
        <w:rPr>
          <w:rFonts w:hint="eastAsia" w:ascii="黑体" w:hAnsi="黑体" w:eastAsia="黑体"/>
          <w:sz w:val="32"/>
          <w:szCs w:val="32"/>
        </w:rPr>
        <w:t>四、资金投入</w:t>
      </w:r>
      <w:r>
        <w:rPr>
          <w:rFonts w:ascii="黑体" w:hAnsi="黑体" w:eastAsia="黑体"/>
          <w:sz w:val="32"/>
          <w:szCs w:val="32"/>
        </w:rPr>
        <w:t>情况</w:t>
      </w:r>
    </w:p>
    <w:p>
      <w:pPr>
        <w:keepNext w:val="0"/>
        <w:keepLines w:val="0"/>
        <w:pageBreakBefore w:val="0"/>
        <w:widowControl w:val="0"/>
        <w:kinsoku/>
        <w:wordWrap/>
        <w:overflowPunct/>
        <w:topLinePunct w:val="0"/>
        <w:autoSpaceDE/>
        <w:autoSpaceDN/>
        <w:bidi w:val="0"/>
        <w:adjustRightInd/>
        <w:snapToGrid/>
        <w:ind w:firstLine="624" w:firstLineChars="200"/>
        <w:textAlignment w:val="auto"/>
        <w:outlineLvl w:val="9"/>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sz w:val="32"/>
          <w:szCs w:val="32"/>
          <w:lang w:val="en-US" w:eastAsia="zh-CN"/>
        </w:rPr>
        <w:t>白河县2024年林业龙头企业建设奖补项目</w:t>
      </w:r>
      <w:bookmarkStart w:id="0" w:name="_GoBack"/>
      <w:bookmarkEnd w:id="0"/>
      <w:r>
        <w:rPr>
          <w:rFonts w:hint="eastAsia" w:ascii="仿宋_GB2312" w:hAnsi="仿宋_GB2312" w:eastAsia="仿宋_GB2312" w:cs="仿宋_GB2312"/>
          <w:sz w:val="32"/>
          <w:szCs w:val="32"/>
          <w:lang w:val="en-US" w:eastAsia="zh-CN"/>
        </w:rPr>
        <w:t>需投入资金8万元，从2024年度第三批中央财政衔接推进乡村振兴补助资金中列支。</w:t>
      </w:r>
    </w:p>
    <w:p>
      <w:pPr>
        <w:spacing w:line="560" w:lineRule="exact"/>
        <w:ind w:firstLine="624" w:firstLineChars="200"/>
        <w:jc w:val="left"/>
        <w:rPr>
          <w:rFonts w:hint="eastAsia" w:ascii="黑体" w:hAnsi="黑体" w:eastAsia="黑体"/>
          <w:sz w:val="32"/>
          <w:szCs w:val="32"/>
          <w:lang w:eastAsia="zh-CN"/>
        </w:rPr>
      </w:pPr>
      <w:r>
        <w:rPr>
          <w:rFonts w:hint="eastAsia" w:ascii="黑体" w:hAnsi="黑体" w:eastAsia="黑体"/>
          <w:sz w:val="32"/>
          <w:szCs w:val="32"/>
        </w:rPr>
        <w:t>五、财政资金补助标准</w:t>
      </w:r>
    </w:p>
    <w:p>
      <w:pPr>
        <w:keepNext w:val="0"/>
        <w:keepLines w:val="0"/>
        <w:pageBreakBefore w:val="0"/>
        <w:widowControl w:val="0"/>
        <w:kinsoku/>
        <w:wordWrap/>
        <w:overflowPunct/>
        <w:topLinePunct w:val="0"/>
        <w:autoSpaceDE/>
        <w:autoSpaceDN/>
        <w:bidi w:val="0"/>
        <w:adjustRightInd/>
        <w:snapToGrid/>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产业发展类：</w:t>
      </w:r>
      <w:r>
        <w:rPr>
          <w:rFonts w:hint="eastAsia" w:ascii="仿宋_GB2312" w:hAnsi="仿宋_GB2312" w:eastAsia="仿宋_GB2312" w:cs="仿宋_GB2312"/>
          <w:sz w:val="32"/>
          <w:szCs w:val="32"/>
          <w:lang w:val="en-US" w:eastAsia="zh-CN"/>
        </w:rPr>
        <w:t>每亩补助资金400元。</w:t>
      </w:r>
    </w:p>
    <w:p>
      <w:pPr>
        <w:spacing w:line="600" w:lineRule="exact"/>
        <w:ind w:firstLine="624" w:firstLineChars="200"/>
        <w:jc w:val="left"/>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、绩效目标</w:t>
      </w:r>
    </w:p>
    <w:p>
      <w:pPr>
        <w:spacing w:line="600" w:lineRule="exact"/>
        <w:ind w:firstLine="624"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完成项目建设内容，通过林地流转、劳务用工带动等方式带动群众8户12人增收受益，其中直接受益脱贫户2户4人，预计户年均增收2000元以上。</w:t>
      </w:r>
    </w:p>
    <w:p>
      <w:pPr>
        <w:spacing w:line="600" w:lineRule="exact"/>
        <w:ind w:firstLine="624" w:firstLineChars="200"/>
        <w:jc w:val="left"/>
        <w:rPr>
          <w:rFonts w:hint="eastAsia" w:ascii="黑体" w:hAnsi="黑体" w:eastAsia="黑体"/>
          <w:sz w:val="32"/>
          <w:szCs w:val="32"/>
          <w:lang w:val="en-US" w:eastAsia="zh-CN"/>
        </w:rPr>
      </w:pPr>
      <w:r>
        <w:rPr>
          <w:rFonts w:hint="eastAsia" w:ascii="黑体" w:hAnsi="黑体" w:eastAsia="黑体"/>
          <w:sz w:val="32"/>
          <w:szCs w:val="32"/>
          <w:lang w:val="en-US" w:eastAsia="zh-CN"/>
        </w:rPr>
        <w:t>七、保障措施</w:t>
      </w:r>
    </w:p>
    <w:p>
      <w:pPr>
        <w:pStyle w:val="4"/>
        <w:numPr>
          <w:ilvl w:val="0"/>
          <w:numId w:val="0"/>
        </w:numPr>
        <w:ind w:firstLine="624" w:firstLineChars="20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1.组织保障。</w:t>
      </w:r>
    </w:p>
    <w:p>
      <w:pPr>
        <w:pStyle w:val="4"/>
        <w:numPr>
          <w:ilvl w:val="0"/>
          <w:numId w:val="0"/>
        </w:numPr>
        <w:ind w:firstLine="624"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成立建设补助项目工作领导小组，由局长担任领导小组组长，分管副局长和木瓜产业发展中心主任担任副组长，相关股室负责人担任成员。领导小组下设办公室于县林业局木瓜产业发展中心负责日常工作管理。及时传达上级有关精神，制定具体的管理办法和技术标准，审批实施方案，监督施工进度和质量，组织质量检查和竣工验收，负责档案建设和管理，分阶段及时向领导小组报告工作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强化项目</w:t>
      </w:r>
      <w:r>
        <w:rPr>
          <w:rFonts w:hint="eastAsia" w:ascii="仿宋" w:hAnsi="仿宋" w:eastAsia="仿宋" w:cs="仿宋"/>
          <w:b/>
          <w:bCs/>
          <w:sz w:val="32"/>
          <w:szCs w:val="32"/>
          <w:lang w:eastAsia="zh-CN"/>
        </w:rPr>
        <w:t>和资金</w:t>
      </w:r>
      <w:r>
        <w:rPr>
          <w:rFonts w:hint="eastAsia" w:ascii="仿宋" w:hAnsi="仿宋" w:eastAsia="仿宋" w:cs="仿宋"/>
          <w:b/>
          <w:bCs/>
          <w:sz w:val="32"/>
          <w:szCs w:val="32"/>
        </w:rPr>
        <w:t>管理。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前各实施单位与林业局签订补助资金项目实施合同，项目建设领导小组安排工作人员随时到各实施单位就项目建设进度、项目建设质量和内容进行检查，发现问题及时整改。确保项目建设按时高质量完成。依据《陕西省财政衔接推进乡村振兴补助资金管理办法》使用资金，做好公示公告，加强监督检查，发现问题及时整改，确保专款专用。</w:t>
      </w:r>
    </w:p>
    <w:p>
      <w:pPr>
        <w:pStyle w:val="4"/>
        <w:numPr>
          <w:ilvl w:val="0"/>
          <w:numId w:val="0"/>
        </w:numPr>
        <w:ind w:firstLine="624"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认真落实绩效管理。</w:t>
      </w:r>
    </w:p>
    <w:p>
      <w:pPr>
        <w:pStyle w:val="4"/>
        <w:numPr>
          <w:ilvl w:val="0"/>
          <w:numId w:val="0"/>
        </w:numPr>
        <w:ind w:firstLine="624"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制定明确的绩效评价标准，将基地建设成果量化为具体指标。定期汇报项目进度和成果，对项目执行过程中的问题和困难进行及时反馈，确保项目顺利进行。</w:t>
      </w:r>
    </w:p>
    <w:p>
      <w:pPr>
        <w:numPr>
          <w:ilvl w:val="0"/>
          <w:numId w:val="1"/>
        </w:numPr>
        <w:ind w:firstLine="624"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强化责任监督。</w:t>
      </w:r>
    </w:p>
    <w:p>
      <w:pPr>
        <w:pStyle w:val="3"/>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建立完善的监督机制，对项目执行情况进行全程跟踪。对发现的违规行为和不规范操作进行严肃处理，确保项目合规性。鼓励干部和社会公众参与监督，提高透明度。与第三方评估机构合作，对项目成果进行客观评价，不断改进和提升品牌建设水平。</w:t>
      </w:r>
    </w:p>
    <w:p/>
    <w:sectPr>
      <w:headerReference r:id="rId3" w:type="default"/>
      <w:footerReference r:id="rId5" w:type="default"/>
      <w:headerReference r:id="rId4" w:type="even"/>
      <w:footerReference r:id="rId6" w:type="even"/>
      <w:pgSz w:w="11907" w:h="16840"/>
      <w:pgMar w:top="1984" w:right="1474" w:bottom="1701" w:left="1587" w:header="851" w:footer="992" w:gutter="0"/>
      <w:cols w:space="720" w:num="1"/>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EA8713-DE30-4682-8773-FE667F55E7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301888C-DB57-42B8-A86C-28FB44EF9B83}"/>
  </w:font>
  <w:font w:name="方正小标宋简体">
    <w:panose1 w:val="02000000000000000000"/>
    <w:charset w:val="86"/>
    <w:family w:val="auto"/>
    <w:pitch w:val="default"/>
    <w:sig w:usb0="00000001" w:usb1="08000000" w:usb2="00000000" w:usb3="00000000" w:csb0="00040000" w:csb1="00000000"/>
    <w:embedRegular r:id="rId3" w:fontKey="{B67FCACA-6F05-47F4-914D-C933BD26B04A}"/>
  </w:font>
  <w:font w:name="仿宋_GB2312">
    <w:panose1 w:val="02010609030101010101"/>
    <w:charset w:val="86"/>
    <w:family w:val="auto"/>
    <w:pitch w:val="default"/>
    <w:sig w:usb0="00000001" w:usb1="080E0000" w:usb2="00000000" w:usb3="00000000" w:csb0="00040000" w:csb1="00000000"/>
    <w:embedRegular r:id="rId4" w:fontKey="{B2AD7C13-A685-49BA-BD99-1E3AA4F25F5D}"/>
  </w:font>
  <w:font w:name="楷体_GB2312">
    <w:altName w:val="楷体"/>
    <w:panose1 w:val="02010609030101010101"/>
    <w:charset w:val="86"/>
    <w:family w:val="modern"/>
    <w:pitch w:val="default"/>
    <w:sig w:usb0="00000000" w:usb1="00000000" w:usb2="00000000" w:usb3="00000000" w:csb0="00040000" w:csb1="00000000"/>
    <w:embedRegular r:id="rId5" w:fontKey="{ABB6B39B-F09A-49D6-9DC9-331BE84247D8}"/>
  </w:font>
  <w:font w:name="仿宋">
    <w:panose1 w:val="02010609060101010101"/>
    <w:charset w:val="86"/>
    <w:family w:val="modern"/>
    <w:pitch w:val="default"/>
    <w:sig w:usb0="800002BF" w:usb1="38CF7CFA" w:usb2="00000016" w:usb3="00000000" w:csb0="00040001" w:csb1="00000000"/>
    <w:embedRegular r:id="rId6" w:fontKey="{2F51D2AC-2D33-45C0-A3E2-7FA30CC7EAA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-42545</wp:posOffset>
              </wp:positionV>
              <wp:extent cx="777875" cy="271780"/>
              <wp:effectExtent l="0" t="0" r="0" b="0"/>
              <wp:wrapNone/>
              <wp:docPr id="1" name="文本框 5"/>
              <wp:cNvGraphicFramePr/>
              <a:graphic xmlns:a="http://schemas.openxmlformats.org/drawingml/2006/main">
                <a:graphicData uri="http://schemas.microsoft.com/office/word/2010/wordprocessingShape">
                  <wps:wsp>
                    <wps:cNvSpPr txBox="1"/>
                    <wps:spPr>
                      <a:xfrm>
                        <a:off x="0" y="0"/>
                        <a:ext cx="777875" cy="271780"/>
                      </a:xfrm>
                      <a:prstGeom prst="rect">
                        <a:avLst/>
                      </a:prstGeom>
                      <a:noFill/>
                      <a:ln>
                        <a:noFill/>
                      </a:ln>
                    </wps:spPr>
                    <wps:txbx>
                      <w:txbxContent>
                        <w:p>
                          <w:pPr>
                            <w:pStyle w:val="5"/>
                            <w:rPr>
                              <w:rFonts w:hint="eastAsia" w:ascii="宋体" w:hAnsi="宋体" w:cs="宋体"/>
                              <w:sz w:val="28"/>
                              <w:szCs w:val="28"/>
                            </w:rPr>
                          </w:pPr>
                        </w:p>
                      </w:txbxContent>
                    </wps:txbx>
                    <wps:bodyPr wrap="square" lIns="0" tIns="0" rIns="0" bIns="0" upright="0"/>
                  </wps:wsp>
                </a:graphicData>
              </a:graphic>
            </wp:anchor>
          </w:drawing>
        </mc:Choice>
        <mc:Fallback>
          <w:pict>
            <v:shape id="文本框 5" o:spid="_x0000_s1026" o:spt="202" type="#_x0000_t202" style="position:absolute;left:0pt;margin-top:-3.35pt;height:21.4pt;width:61.25pt;mso-position-horizontal:center;mso-position-horizontal-relative:margin;z-index:251659264;mso-width-relative:page;mso-height-relative:page;" filled="f" stroked="f" coordsize="21600,21600" o:gfxdata="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oRzxetYAAAAGAQAADwAAAAAAAAABACAAAAAiAAAAZHJzL2Rvd25yZXYu&#10;eG1sUEsBAhQAFAAAAAgAh07iQEKXjC3EAQAAfwMAAA4AAAAAAAAAAQAgAAAAJQEAAGRycy9lMm9E&#10;b2MueG1sUEsFBgAAAAAGAAYAWQEAAFsFAAAAAA==&#10;">
              <v:fill on="f" focussize="0,0"/>
              <v:stroke on="f"/>
              <v:imagedata o:title=""/>
              <o:lock v:ext="edit" aspectratio="f"/>
              <v:textbox inset="0mm,0mm,0mm,0mm">
                <w:txbxContent>
                  <w:p>
                    <w:pPr>
                      <w:pStyle w:val="5"/>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8"/>
      </w:rPr>
    </w:pPr>
    <w:r>
      <w:rPr>
        <w:sz w:val="28"/>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-31750</wp:posOffset>
              </wp:positionV>
              <wp:extent cx="750570" cy="340360"/>
              <wp:effectExtent l="0" t="0" r="0" b="0"/>
              <wp:wrapNone/>
              <wp:docPr id="2" name="文本框 6"/>
              <wp:cNvGraphicFramePr/>
              <a:graphic xmlns:a="http://schemas.openxmlformats.org/drawingml/2006/main">
                <a:graphicData uri="http://schemas.microsoft.com/office/word/2010/wordprocessingShape">
                  <wps:wsp>
                    <wps:cNvSpPr txBox="1"/>
                    <wps:spPr>
                      <a:xfrm>
                        <a:off x="0" y="0"/>
                        <a:ext cx="750570" cy="340360"/>
                      </a:xfrm>
                      <a:prstGeom prst="rect">
                        <a:avLst/>
                      </a:prstGeom>
                      <a:noFill/>
                      <a:ln>
                        <a:noFill/>
                      </a:ln>
                    </wps:spPr>
                    <wps:txbx>
                      <w:txbxContent>
                        <w:p>
                          <w:pPr>
                            <w:pStyle w:val="5"/>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square" lIns="0" tIns="0" rIns="0" bIns="0" upright="0"/>
                  </wps:wsp>
                </a:graphicData>
              </a:graphic>
            </wp:anchor>
          </w:drawing>
        </mc:Choice>
        <mc:Fallback>
          <w:pict>
            <v:shape id="文本框 6" o:spid="_x0000_s1026" o:spt="202" type="#_x0000_t202" style="position:absolute;left:0pt;margin-left:0pt;margin-top:-2.5pt;height:26.8pt;width:59.1pt;mso-position-horizontal-relative:margin;z-index:251660288;mso-width-relative:page;mso-height-relative:page;" filled="f" stroked="f" coordsize="21600,21600" o:gfxdata="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R5GD/WAAAABgEAAA8AAAAAAAAAAQAgAAAAIgAAAGRycy9kb3ducmV2&#10;LnhtbFBLAQIUABQAAAAIAIdO4kCKMGYTxQEAAH8DAAAOAAAAAAAAAAEAIAAAACUBAABkcnMvZTJv&#10;RG9jLnhtbFBLBQYAAAAABgAGAFkBAABcBQAAAAA=&#10;">
              <v:fill on="f" focussize="0,0"/>
              <v:stroke on="f"/>
              <v:imagedata o:title=""/>
              <o:lock v:ext="edit" aspectratio="f"/>
              <v:textbox inset="0mm,0mm,0mm,0mm">
                <w:txbxContent>
                  <w:p>
                    <w:pPr>
                      <w:pStyle w:val="5"/>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42F188"/>
    <w:multiLevelType w:val="singleLevel"/>
    <w:tmpl w:val="7B42F188"/>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2OTYxZDQ0NmVjMWNlYWVmMzQ3ZGYwMDE2NDlmMzMifQ=="/>
  </w:docVars>
  <w:rsids>
    <w:rsidRoot w:val="00000000"/>
    <w:rsid w:val="156E11B9"/>
    <w:rsid w:val="3E495ECF"/>
    <w:rsid w:val="5E0C21CD"/>
    <w:rsid w:val="725E0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pPr>
    <w:rPr>
      <w:sz w:val="16"/>
      <w:szCs w:val="16"/>
    </w:rPr>
  </w:style>
  <w:style w:type="paragraph" w:styleId="3">
    <w:name w:val="Normal Indent"/>
    <w:basedOn w:val="1"/>
    <w:next w:val="4"/>
    <w:qFormat/>
    <w:uiPriority w:val="99"/>
    <w:pPr>
      <w:ind w:firstLine="200" w:firstLineChars="200"/>
    </w:pPr>
  </w:style>
  <w:style w:type="paragraph" w:styleId="4">
    <w:name w:val="index 6"/>
    <w:basedOn w:val="1"/>
    <w:next w:val="1"/>
    <w:semiHidden/>
    <w:qFormat/>
    <w:uiPriority w:val="99"/>
    <w:pPr>
      <w:ind w:left="1000" w:leftChars="1000"/>
    </w:pPr>
    <w:rPr>
      <w:rFonts w:ascii="Calibri" w:hAnsi="Calibri"/>
    </w:rPr>
  </w:style>
  <w:style w:type="paragraph" w:styleId="5">
    <w:name w:val="footer"/>
    <w:basedOn w:val="1"/>
    <w:qFormat/>
    <w:uiPriority w:val="0"/>
    <w:pPr>
      <w:tabs>
        <w:tab w:val="center" w:pos="4153"/>
        <w:tab w:val="right" w:pos="8307"/>
      </w:tabs>
      <w:snapToGrid w:val="0"/>
      <w:jc w:val="left"/>
    </w:pPr>
    <w:rPr>
      <w:sz w:val="18"/>
    </w:rPr>
  </w:style>
  <w:style w:type="paragraph" w:styleId="6">
    <w:name w:val="header"/>
    <w:basedOn w:val="1"/>
    <w:qFormat/>
    <w:uiPriority w:val="0"/>
    <w:pPr>
      <w:pBdr>
        <w:bottom w:val="single" w:color="auto" w:sz="6" w:space="1"/>
      </w:pBdr>
      <w:tabs>
        <w:tab w:val="center" w:pos="4153"/>
        <w:tab w:val="right" w:pos="8307"/>
      </w:tabs>
      <w:snapToGrid w:val="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1420</Words>
  <Characters>1479</Characters>
  <Lines>0</Lines>
  <Paragraphs>0</Paragraphs>
  <TotalTime>0</TotalTime>
  <ScaleCrop>false</ScaleCrop>
  <LinksUpToDate>false</LinksUpToDate>
  <CharactersWithSpaces>1479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2024-07-04T03:27:00Z</dcterms:created>
  <dc:creator>q</dc:creator>
  <cp:lastModifiedBy>凌霄静默</cp:lastModifiedBy>
  <dcterms:modified xsi:type="dcterms:W3CDTF">2024-07-04T07:33:05Z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7B097828A83B458FB34070AA1A7BD0F7_12</vt:lpwstr>
  </property>
</Properties>
</file>