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白河县林业局     </w:t>
      </w:r>
    </w:p>
    <w:p>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2024年度第三批中央财政衔接推进乡村振兴</w:t>
      </w:r>
    </w:p>
    <w:p>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rPr>
        <w:t>补助资金木瓜产业示范点产业建设项目</w:t>
      </w:r>
      <w:r>
        <w:rPr>
          <w:rFonts w:hint="eastAsia" w:ascii="方正小标宋简体" w:hAnsi="方正小标宋简体" w:eastAsia="方正小标宋简体" w:cs="方正小标宋简体"/>
          <w:sz w:val="44"/>
          <w:szCs w:val="44"/>
          <w:lang w:val="en-US" w:eastAsia="zh-CN"/>
        </w:rPr>
        <w:t>方案</w:t>
      </w:r>
    </w:p>
    <w:p>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Fonts w:hint="eastAsia" w:ascii="黑体" w:hAnsi="黑体" w:eastAsia="黑体" w:cs="仿宋_GB2312"/>
          <w:sz w:val="32"/>
          <w:szCs w:val="32"/>
        </w:rPr>
      </w:pPr>
      <w:bookmarkStart w:id="0" w:name="_GoBack"/>
      <w:bookmarkEnd w:id="0"/>
      <w:r>
        <w:rPr>
          <w:rFonts w:ascii="黑体" w:hAnsi="黑体" w:eastAsia="黑体" w:cs="黑体"/>
          <w:sz w:val="32"/>
          <w:szCs w:val="32"/>
        </w:rPr>
        <w:t>一、编制依据</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Fonts w:hint="eastAsia" w:ascii="仿宋_GB2312" w:eastAsia="仿宋_GB2312"/>
          <w:sz w:val="32"/>
          <w:szCs w:val="32"/>
        </w:rPr>
      </w:pPr>
      <w:r>
        <w:rPr>
          <w:rFonts w:hint="eastAsia" w:ascii="仿宋_GB2312" w:eastAsia="仿宋_GB2312"/>
          <w:sz w:val="32"/>
          <w:szCs w:val="32"/>
        </w:rPr>
        <w:t>为贯彻《中共中央国务院关于实现巩固拓展脱贫攻坚成果同乡村振兴有效衔接的意见》精神，落实《国务院办公厅关于支持贫困县开展统筹整合使用财政涉农资金试点的意见》（国办发〔2016〕22号）、《关于继续支持脱贫县统筹整合使用财政涉农资金工作的通知》（财农〔2021〕22号）要求，依据财政部、农业农村部、国家乡村振兴局、国家发展改革委、国家民委、国家林草局《关于加强中央财政衔接推进乡村振兴补助资金使用管理的指导意见》（财农[2022]14号），安康财政局、安康市乡村振兴局、安康市发展和改革委员会、安康市委统战部、安康市农业农村局、安康市林业局关于印发《安康市财政衔接推进乡村振兴补助资金管理办法的通知》（安财农〔2021〕38号），《关于印发&lt;白河县财政衔接推进乡村振兴补助资金项目全流程管理办法（试行）&gt;的通知》（白乡振发[2022]5号）</w:t>
      </w:r>
      <w:r>
        <w:rPr>
          <w:rFonts w:hint="eastAsia" w:ascii="仿宋_GB2312" w:eastAsia="仿宋_GB2312"/>
          <w:sz w:val="32"/>
          <w:szCs w:val="32"/>
          <w:lang w:eastAsia="zh-CN"/>
        </w:rPr>
        <w:t>，</w:t>
      </w:r>
      <w:r>
        <w:rPr>
          <w:rFonts w:hint="eastAsia" w:ascii="仿宋_GB2312" w:eastAsia="仿宋_GB2312"/>
          <w:sz w:val="32"/>
          <w:szCs w:val="32"/>
        </w:rPr>
        <w:t>白河县乡村振兴局、白河县发展和改革局、白河县财政局《关于下达2024年度第三批中央财政衔接推进乡村振兴补助资金项目计划的通知》（白乡振发[202</w:t>
      </w:r>
      <w:r>
        <w:rPr>
          <w:rFonts w:hint="eastAsia" w:ascii="仿宋_GB2312" w:eastAsia="仿宋_GB2312"/>
          <w:sz w:val="32"/>
          <w:szCs w:val="32"/>
          <w:lang w:val="en-US" w:eastAsia="zh-CN"/>
        </w:rPr>
        <w:t>4</w:t>
      </w:r>
      <w:r>
        <w:rPr>
          <w:rFonts w:hint="eastAsia" w:ascii="仿宋_GB2312" w:eastAsia="仿宋_GB2312"/>
          <w:sz w:val="32"/>
          <w:szCs w:val="32"/>
        </w:rPr>
        <w:t>]</w:t>
      </w:r>
      <w:r>
        <w:rPr>
          <w:rFonts w:hint="eastAsia" w:ascii="仿宋_GB2312" w:eastAsia="仿宋_GB2312"/>
          <w:sz w:val="32"/>
          <w:szCs w:val="32"/>
          <w:lang w:val="en-US" w:eastAsia="zh-CN"/>
        </w:rPr>
        <w:t>26</w:t>
      </w:r>
      <w:r>
        <w:rPr>
          <w:rFonts w:hint="eastAsia" w:ascii="仿宋_GB2312" w:eastAsia="仿宋_GB2312"/>
          <w:sz w:val="32"/>
          <w:szCs w:val="32"/>
        </w:rPr>
        <w:t>号）等文件精神，结合我县实际，特制定本方案。</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Fonts w:hint="eastAsia" w:ascii="黑体" w:hAnsi="黑体" w:eastAsia="黑体"/>
          <w:sz w:val="32"/>
          <w:szCs w:val="32"/>
        </w:rPr>
      </w:pPr>
      <w:r>
        <w:rPr>
          <w:rFonts w:hint="eastAsia" w:ascii="黑体" w:hAnsi="黑体" w:eastAsia="黑体"/>
          <w:sz w:val="32"/>
          <w:szCs w:val="32"/>
        </w:rPr>
        <w:t>二、</w:t>
      </w:r>
      <w:r>
        <w:rPr>
          <w:rFonts w:hint="eastAsia" w:ascii="黑体" w:hAnsi="黑体" w:eastAsia="黑体"/>
          <w:sz w:val="32"/>
          <w:szCs w:val="32"/>
          <w:lang w:eastAsia="zh-CN"/>
        </w:rPr>
        <w:t>工作</w:t>
      </w:r>
      <w:r>
        <w:rPr>
          <w:rFonts w:ascii="黑体" w:hAnsi="黑体" w:eastAsia="黑体"/>
          <w:sz w:val="32"/>
          <w:szCs w:val="32"/>
        </w:rPr>
        <w:t>思路和规划目标</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2"/>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1.工作思路</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木瓜产业示范点建设是木瓜产业发展的基石，在巩固脱贫攻坚成果有效助推乡村振兴中起着重要的示范引领作用，通过抓好木瓜产业示范点建设，以示范引领带动全县木瓜产业规范化发展和标准化的生产，从而达到提高产业经济效益，增加农民收益的目标。</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2"/>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2.年度规划目标</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提升“白河木瓜”区域公用品牌影响力，指导开展标准化的生产，引进先进生产技术，生产推广2款产品，通过生产和推广新产品使企业更好的占有市场，获得更多的经济价值。</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24" w:firstLineChars="200"/>
        <w:jc w:val="left"/>
        <w:textAlignment w:val="auto"/>
        <w:rPr>
          <w:rFonts w:hint="eastAsia" w:ascii="黑体" w:hAnsi="黑体" w:eastAsia="黑体"/>
          <w:sz w:val="32"/>
          <w:szCs w:val="32"/>
        </w:rPr>
      </w:pPr>
      <w:r>
        <w:rPr>
          <w:rFonts w:hint="eastAsia" w:ascii="黑体" w:hAnsi="黑体" w:eastAsia="黑体"/>
          <w:sz w:val="32"/>
          <w:szCs w:val="32"/>
        </w:rPr>
        <w:t>整合项目实施建设内容和区域</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木瓜产业示范点产业建设项目</w:t>
      </w:r>
      <w:r>
        <w:rPr>
          <w:rFonts w:hint="eastAsia" w:ascii="仿宋_GB2312" w:hAnsi="仿宋_GB2312" w:eastAsia="仿宋_GB2312" w:cs="仿宋_GB2312"/>
          <w:sz w:val="32"/>
          <w:szCs w:val="32"/>
          <w:lang w:val="en-US" w:eastAsia="zh-CN"/>
        </w:rPr>
        <w:t>建设内容为提升“白河木瓜”区域公用品牌影响力，指导开展标准化的生产，引进先进生产技术，生产推广2款产品。在中厂镇石梯社区实施。</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jc w:val="left"/>
        <w:textAlignment w:val="auto"/>
        <w:rPr>
          <w:rFonts w:hint="eastAsia" w:ascii="黑体" w:hAnsi="黑体" w:eastAsia="黑体"/>
          <w:sz w:val="32"/>
          <w:szCs w:val="32"/>
        </w:rPr>
      </w:pPr>
      <w:r>
        <w:rPr>
          <w:rFonts w:hint="eastAsia" w:ascii="黑体" w:hAnsi="黑体" w:eastAsia="黑体"/>
          <w:sz w:val="32"/>
          <w:szCs w:val="32"/>
        </w:rPr>
        <w:t>四、资金投入</w:t>
      </w:r>
      <w:r>
        <w:rPr>
          <w:rFonts w:ascii="黑体" w:hAnsi="黑体" w:eastAsia="黑体"/>
          <w:sz w:val="32"/>
          <w:szCs w:val="32"/>
        </w:rPr>
        <w:t>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2024年木瓜产业示范点产业建设项目预算总投资20万元，从2024年度第三批中央财政衔接推进乡村振兴补助资金中列支。</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jc w:val="left"/>
        <w:textAlignment w:val="auto"/>
        <w:rPr>
          <w:rFonts w:hint="eastAsia" w:ascii="黑体" w:hAnsi="黑体" w:eastAsia="黑体"/>
          <w:sz w:val="32"/>
          <w:szCs w:val="32"/>
          <w:lang w:eastAsia="zh-CN"/>
        </w:rPr>
      </w:pPr>
      <w:r>
        <w:rPr>
          <w:rFonts w:hint="eastAsia" w:ascii="黑体" w:hAnsi="黑体" w:eastAsia="黑体"/>
          <w:sz w:val="32"/>
          <w:szCs w:val="32"/>
        </w:rPr>
        <w:t>五、财政资金补助标准</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color w:val="auto"/>
          <w:sz w:val="32"/>
          <w:szCs w:val="32"/>
          <w:lang w:val="en-US" w:eastAsia="zh-CN"/>
        </w:rPr>
        <w:t>产业发展类生产项目：</w:t>
      </w:r>
      <w:r>
        <w:rPr>
          <w:rFonts w:hint="eastAsia" w:ascii="仿宋_GB2312" w:hAnsi="仿宋_GB2312" w:eastAsia="仿宋_GB2312" w:cs="仿宋_GB2312"/>
          <w:sz w:val="32"/>
          <w:szCs w:val="32"/>
          <w:lang w:val="en-US" w:eastAsia="zh-CN"/>
        </w:rPr>
        <w:t>生产推广2款产品，每款补助10万元。</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24" w:firstLineChars="200"/>
        <w:jc w:val="left"/>
        <w:textAlignment w:val="auto"/>
        <w:rPr>
          <w:rFonts w:hint="eastAsia" w:ascii="黑体" w:hAnsi="黑体" w:eastAsia="黑体"/>
          <w:sz w:val="32"/>
          <w:szCs w:val="32"/>
        </w:rPr>
      </w:pPr>
      <w:r>
        <w:rPr>
          <w:rFonts w:hint="eastAsia" w:ascii="黑体" w:hAnsi="黑体" w:eastAsia="黑体"/>
          <w:sz w:val="32"/>
          <w:szCs w:val="32"/>
        </w:rPr>
        <w:t>绩效目标</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完成项目建设内容，通过林地流转、劳务用工带动等方式带动群众20户40人增收受益，其中直接受益脱贫户6户12人，预计户年均增收2000元以上。</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jc w:val="left"/>
        <w:textAlignment w:val="auto"/>
        <w:rPr>
          <w:rFonts w:hint="eastAsia" w:ascii="黑体" w:hAnsi="黑体" w:eastAsia="黑体"/>
          <w:sz w:val="32"/>
          <w:szCs w:val="32"/>
          <w:lang w:val="en-US" w:eastAsia="zh-CN"/>
        </w:rPr>
      </w:pPr>
      <w:r>
        <w:rPr>
          <w:rFonts w:hint="eastAsia" w:ascii="黑体" w:hAnsi="黑体" w:eastAsia="黑体"/>
          <w:sz w:val="32"/>
          <w:szCs w:val="32"/>
          <w:lang w:val="en-US" w:eastAsia="zh-CN"/>
        </w:rPr>
        <w:t>七、保障措施</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24" w:firstLineChars="20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1.组织保障。</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24"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val="en-US" w:eastAsia="zh-CN"/>
        </w:rPr>
        <w:t>成立领导小组，由局长担任领导小组组长，分管副局长和木瓜产业发展中心主任担任副组长，相关股室负责人担任成员。领导小组下设办公室于县林业局木瓜产业发展中心负责日常工作管理。及时传达上级有关精神，制定具体的管理办法和技术标准，审批实施方案，监督施工进度和质量，组织质量检查和竣工验收，负责档案建设和管理，分阶段及时向领导小组报告工作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val="en-US" w:eastAsia="zh-CN"/>
        </w:rPr>
        <w:t>2.</w:t>
      </w:r>
      <w:r>
        <w:rPr>
          <w:rFonts w:hint="eastAsia" w:ascii="仿宋" w:hAnsi="仿宋" w:eastAsia="仿宋" w:cs="仿宋"/>
          <w:b/>
          <w:bCs/>
          <w:sz w:val="32"/>
          <w:szCs w:val="32"/>
        </w:rPr>
        <w:t>强化项目</w:t>
      </w:r>
      <w:r>
        <w:rPr>
          <w:rFonts w:hint="eastAsia" w:ascii="仿宋" w:hAnsi="仿宋" w:eastAsia="仿宋" w:cs="仿宋"/>
          <w:b/>
          <w:bCs/>
          <w:sz w:val="32"/>
          <w:szCs w:val="32"/>
          <w:lang w:eastAsia="zh-CN"/>
        </w:rPr>
        <w:t>和资金</w:t>
      </w:r>
      <w:r>
        <w:rPr>
          <w:rFonts w:hint="eastAsia" w:ascii="仿宋" w:hAnsi="仿宋" w:eastAsia="仿宋" w:cs="仿宋"/>
          <w:b/>
          <w:bCs/>
          <w:sz w:val="32"/>
          <w:szCs w:val="32"/>
        </w:rPr>
        <w:t>管理。</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实施前各实施单位与林业局签订补助资金项目实施合同，项目建设领导小组安排工作人员随时到各实施单位就项目建设进度、项目建设质量和内容进行检查，发现问题及时整改。确保项目建设按时高质量完成。依据《陕西省财政衔接推进乡村振兴补助资金管理办法》使用资金，做好公示公告，加强监督检查，发现问题及时整改，确保专款专用。</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24"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val="en-US" w:eastAsia="zh-CN"/>
        </w:rPr>
        <w:t>3.</w:t>
      </w:r>
      <w:r>
        <w:rPr>
          <w:rFonts w:hint="eastAsia" w:ascii="仿宋" w:hAnsi="仿宋" w:eastAsia="仿宋" w:cs="仿宋"/>
          <w:b/>
          <w:bCs/>
          <w:sz w:val="32"/>
          <w:szCs w:val="32"/>
        </w:rPr>
        <w:t>认真落实绩效管理。</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24"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制定明确的绩效评价标准，将基地建设成果量化为具体指标。定期汇报项目进度和成果，对项目执行过程中的问题和困难进行及时反馈，确保项目顺利进行。</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624" w:firstLineChars="200"/>
        <w:textAlignment w:val="auto"/>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强化责任监督。</w:t>
      </w:r>
    </w:p>
    <w:p>
      <w:pPr>
        <w:pStyle w:val="6"/>
        <w:keepNext w:val="0"/>
        <w:keepLines w:val="0"/>
        <w:pageBreakBefore w:val="0"/>
        <w:widowControl w:val="0"/>
        <w:kinsoku/>
        <w:wordWrap/>
        <w:overflowPunct/>
        <w:topLinePunct w:val="0"/>
        <w:autoSpaceDE/>
        <w:autoSpaceDN/>
        <w:bidi w:val="0"/>
        <w:adjustRightInd/>
        <w:snapToGrid/>
        <w:spacing w:line="560" w:lineRule="exact"/>
        <w:ind w:left="0" w:leftChars="0"/>
        <w:textAlignment w:val="auto"/>
        <w:rPr>
          <w:rFonts w:hint="eastAsia"/>
          <w:lang w:val="en-US" w:eastAsia="zh-CN"/>
        </w:rPr>
      </w:pPr>
      <w:r>
        <w:rPr>
          <w:rFonts w:hint="eastAsia" w:ascii="仿宋_GB2312" w:hAnsi="仿宋_GB2312" w:eastAsia="仿宋_GB2312" w:cs="仿宋_GB2312"/>
          <w:kern w:val="2"/>
          <w:sz w:val="32"/>
          <w:szCs w:val="32"/>
          <w:lang w:val="en-US" w:eastAsia="zh-CN" w:bidi="ar-SA"/>
        </w:rPr>
        <w:t>建立完善的监督机制，对项目执行情况进行全程跟踪。对发现的违规行为和不规范操作进行严肃处理，确保项目合规性。鼓励干部和社会公众参与监督，提高透明度。与第三方评估机构合作，对项目成果进行客观评价，不断改进和提升品牌建设水平。</w:t>
      </w:r>
    </w:p>
    <w:sectPr>
      <w:headerReference r:id="rId3" w:type="default"/>
      <w:footerReference r:id="rId5" w:type="default"/>
      <w:headerReference r:id="rId4" w:type="even"/>
      <w:footerReference r:id="rId6" w:type="even"/>
      <w:pgSz w:w="11907" w:h="16840"/>
      <w:pgMar w:top="1984" w:right="1474" w:bottom="1701" w:left="1587" w:header="851" w:footer="992" w:gutter="0"/>
      <w:cols w:space="720" w:num="1"/>
      <w:docGrid w:type="linesAndChars"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FDDEC70-1749-4060-BB37-598AB8F3B2F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2E937E3C-3DC7-4A2E-BE79-3AFE22BA7392}"/>
  </w:font>
  <w:font w:name="仿宋_GB2312">
    <w:panose1 w:val="02010609030101010101"/>
    <w:charset w:val="86"/>
    <w:family w:val="auto"/>
    <w:pitch w:val="default"/>
    <w:sig w:usb0="00000001" w:usb1="080E0000" w:usb2="00000000" w:usb3="00000000" w:csb0="00040000" w:csb1="00000000"/>
    <w:embedRegular r:id="rId3" w:fontKey="{34998434-266F-4C0B-9146-1410D26582A1}"/>
  </w:font>
  <w:font w:name="仿宋">
    <w:panose1 w:val="02010609060101010101"/>
    <w:charset w:val="86"/>
    <w:family w:val="modern"/>
    <w:pitch w:val="default"/>
    <w:sig w:usb0="800002BF" w:usb1="38CF7CFA" w:usb2="00000016" w:usb3="00000000" w:csb0="00040001" w:csb1="00000000"/>
    <w:embedRegular r:id="rId4" w:fontKey="{1D3E3044-D41F-4D2D-8EEA-67C98AF374D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right"/>
      <w:rPr>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1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-42545</wp:posOffset>
              </wp:positionV>
              <wp:extent cx="777875" cy="271780"/>
              <wp:effectExtent l="0" t="0" r="0" b="0"/>
              <wp:wrapNone/>
              <wp:docPr id="1" name="文本框 5"/>
              <wp:cNvGraphicFramePr/>
              <a:graphic xmlns:a="http://schemas.openxmlformats.org/drawingml/2006/main">
                <a:graphicData uri="http://schemas.microsoft.com/office/word/2010/wordprocessingShape">
                  <wps:wsp>
                    <wps:cNvSpPr txBox="1"/>
                    <wps:spPr>
                      <a:xfrm>
                        <a:off x="0" y="0"/>
                        <a:ext cx="777875" cy="271780"/>
                      </a:xfrm>
                      <a:prstGeom prst="rect">
                        <a:avLst/>
                      </a:prstGeom>
                      <a:noFill/>
                      <a:ln>
                        <a:noFill/>
                      </a:ln>
                    </wps:spPr>
                    <wps:txbx>
                      <w:txbxContent>
                        <w:p>
                          <w:pPr>
                            <w:pStyle w:val="12"/>
                            <w:rPr>
                              <w:rFonts w:hint="eastAsia" w:ascii="宋体" w:hAnsi="宋体" w:cs="宋体"/>
                              <w:sz w:val="28"/>
                              <w:szCs w:val="28"/>
                            </w:rPr>
                          </w:pPr>
                        </w:p>
                      </w:txbxContent>
                    </wps:txbx>
                    <wps:bodyPr wrap="square" lIns="0" tIns="0" rIns="0" bIns="0" upright="0"/>
                  </wps:wsp>
                </a:graphicData>
              </a:graphic>
            </wp:anchor>
          </w:drawing>
        </mc:Choice>
        <mc:Fallback>
          <w:pict>
            <v:shape id="文本框 5" o:spid="_x0000_s1026" o:spt="202" type="#_x0000_t202" style="position:absolute;left:0pt;margin-top:-3.35pt;height:21.4pt;width:61.25pt;mso-position-horizontal:center;mso-position-horizontal-relative:margin;z-index:251659264;mso-width-relative:page;mso-height-relative:page;" filled="f" stroked="f" coordsize="21600,21600" o:gfxdata="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oRzxetYAAAAGAQAADwAAAAAAAAABACAAAAAiAAAAZHJzL2Rvd25yZXYu&#10;eG1sUEsBAhQAFAAAAAgAh07iQEKXjC3EAQAAfwMAAA4AAAAAAAAAAQAgAAAAJQEAAGRycy9lMm9E&#10;b2MueG1sUEsFBgAAAAAGAAYAWQEAAFsFAAAAAA==&#10;">
              <v:fill on="f" focussize="0,0"/>
              <v:stroke on="f"/>
              <v:imagedata o:title=""/>
              <o:lock v:ext="edit" aspectratio="f"/>
              <v:textbox inset="0mm,0mm,0mm,0mm">
                <w:txbxContent>
                  <w:p>
                    <w:pPr>
                      <w:pStyle w:val="12"/>
                      <w:rPr>
                        <w:rFonts w:hint="eastAsia" w:ascii="宋体" w:hAnsi="宋体" w:cs="宋体"/>
                        <w:sz w:val="28"/>
                        <w:szCs w:val="28"/>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sz w:val="28"/>
      </w:rPr>
    </w:pPr>
    <w:r>
      <w:rPr>
        <w:sz w:val="28"/>
      </w:rPr>
      <mc:AlternateContent>
        <mc:Choice Requires="wps">
          <w:drawing>
            <wp:anchor distT="0" distB="0" distL="114300" distR="114300" simplePos="0" relativeHeight="251660288" behindDoc="0" locked="0" layoutInCell="1" allowOverlap="1">
              <wp:simplePos x="0" y="0"/>
              <wp:positionH relativeFrom="margin">
                <wp:posOffset>0</wp:posOffset>
              </wp:positionH>
              <wp:positionV relativeFrom="paragraph">
                <wp:posOffset>-31750</wp:posOffset>
              </wp:positionV>
              <wp:extent cx="750570" cy="340360"/>
              <wp:effectExtent l="0" t="0" r="0" b="0"/>
              <wp:wrapNone/>
              <wp:docPr id="2" name="文本框 6"/>
              <wp:cNvGraphicFramePr/>
              <a:graphic xmlns:a="http://schemas.openxmlformats.org/drawingml/2006/main">
                <a:graphicData uri="http://schemas.microsoft.com/office/word/2010/wordprocessingShape">
                  <wps:wsp>
                    <wps:cNvSpPr txBox="1"/>
                    <wps:spPr>
                      <a:xfrm>
                        <a:off x="0" y="0"/>
                        <a:ext cx="750570" cy="340360"/>
                      </a:xfrm>
                      <a:prstGeom prst="rect">
                        <a:avLst/>
                      </a:prstGeom>
                      <a:noFill/>
                      <a:ln>
                        <a:noFill/>
                      </a:ln>
                    </wps:spPr>
                    <wps:txbx>
                      <w:txbxContent>
                        <w:p>
                          <w:pPr>
                            <w:pStyle w:val="12"/>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2</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wrap="square" lIns="0" tIns="0" rIns="0" bIns="0" upright="0"/>
                  </wps:wsp>
                </a:graphicData>
              </a:graphic>
            </wp:anchor>
          </w:drawing>
        </mc:Choice>
        <mc:Fallback>
          <w:pict>
            <v:shape id="文本框 6" o:spid="_x0000_s1026" o:spt="202" type="#_x0000_t202" style="position:absolute;left:0pt;margin-left:0pt;margin-top:-2.5pt;height:26.8pt;width:59.1pt;mso-position-horizontal-relative:margin;z-index:251660288;mso-width-relative:page;mso-height-relative:page;" filled="f" stroked="f" coordsize="21600,21600" o:gfxdata="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OR5GD/WAAAABgEAAA8AAAAAAAAAAQAgAAAAIgAAAGRycy9kb3ducmV2&#10;LnhtbFBLAQIUABQAAAAIAIdO4kCKMGYTxQEAAH8DAAAOAAAAAAAAAAEAIAAAACUBAABkcnMvZTJv&#10;RG9jLnhtbFBLBQYAAAAABgAGAFkBAABcBQAAAAA=&#10;">
              <v:fill on="f" focussize="0,0"/>
              <v:stroke on="f"/>
              <v:imagedata o:title=""/>
              <o:lock v:ext="edit" aspectratio="f"/>
              <v:textbox inset="0mm,0mm,0mm,0mm">
                <w:txbxContent>
                  <w:p>
                    <w:pPr>
                      <w:pStyle w:val="12"/>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2</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19BE35"/>
    <w:multiLevelType w:val="singleLevel"/>
    <w:tmpl w:val="9119BE35"/>
    <w:lvl w:ilvl="0" w:tentative="0">
      <w:start w:val="3"/>
      <w:numFmt w:val="chineseCounting"/>
      <w:suff w:val="nothing"/>
      <w:lvlText w:val="%1、"/>
      <w:lvlJc w:val="left"/>
      <w:rPr>
        <w:rFonts w:hint="eastAsia"/>
      </w:rPr>
    </w:lvl>
  </w:abstractNum>
  <w:abstractNum w:abstractNumId="1">
    <w:nsid w:val="D8E64433"/>
    <w:multiLevelType w:val="singleLevel"/>
    <w:tmpl w:val="D8E64433"/>
    <w:lvl w:ilvl="0" w:tentative="0">
      <w:start w:val="6"/>
      <w:numFmt w:val="chineseCounting"/>
      <w:suff w:val="nothing"/>
      <w:lvlText w:val="%1、"/>
      <w:lvlJc w:val="left"/>
      <w:rPr>
        <w:rFonts w:hint="eastAsia"/>
      </w:rPr>
    </w:lvl>
  </w:abstractNum>
  <w:abstractNum w:abstractNumId="2">
    <w:nsid w:val="7B42F188"/>
    <w:multiLevelType w:val="singleLevel"/>
    <w:tmpl w:val="7B42F188"/>
    <w:lvl w:ilvl="0" w:tentative="0">
      <w:start w:val="4"/>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201"/>
  <w:drawingGridVerticalSpacing w:val="579"/>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2OTYxZDQ0NmVjMWNlYWVmMzQ3ZGYwMDE2NDlmMzMifQ=="/>
  </w:docVars>
  <w:rsids>
    <w:rsidRoot w:val="006700CF"/>
    <w:rsid w:val="0001045A"/>
    <w:rsid w:val="000A1083"/>
    <w:rsid w:val="000C0582"/>
    <w:rsid w:val="000D75EF"/>
    <w:rsid w:val="00102C17"/>
    <w:rsid w:val="00117338"/>
    <w:rsid w:val="00135972"/>
    <w:rsid w:val="00186698"/>
    <w:rsid w:val="001D17FB"/>
    <w:rsid w:val="001E4800"/>
    <w:rsid w:val="001F2709"/>
    <w:rsid w:val="002118AE"/>
    <w:rsid w:val="002459C3"/>
    <w:rsid w:val="002A48F5"/>
    <w:rsid w:val="00305B57"/>
    <w:rsid w:val="0031231D"/>
    <w:rsid w:val="0034198D"/>
    <w:rsid w:val="003E51EF"/>
    <w:rsid w:val="00457652"/>
    <w:rsid w:val="004609D6"/>
    <w:rsid w:val="00480728"/>
    <w:rsid w:val="004946D5"/>
    <w:rsid w:val="00511F7D"/>
    <w:rsid w:val="00515DF0"/>
    <w:rsid w:val="005C136A"/>
    <w:rsid w:val="005E5491"/>
    <w:rsid w:val="005F4C0B"/>
    <w:rsid w:val="006024C6"/>
    <w:rsid w:val="006745C5"/>
    <w:rsid w:val="006841FE"/>
    <w:rsid w:val="006D5C6C"/>
    <w:rsid w:val="00704A10"/>
    <w:rsid w:val="00732BE8"/>
    <w:rsid w:val="007B6F6A"/>
    <w:rsid w:val="007E2ED2"/>
    <w:rsid w:val="00857323"/>
    <w:rsid w:val="008644B2"/>
    <w:rsid w:val="008747E3"/>
    <w:rsid w:val="00883E5E"/>
    <w:rsid w:val="00957DE2"/>
    <w:rsid w:val="00987101"/>
    <w:rsid w:val="009967C8"/>
    <w:rsid w:val="009E55CF"/>
    <w:rsid w:val="009F1AA1"/>
    <w:rsid w:val="009F40EC"/>
    <w:rsid w:val="00A7324B"/>
    <w:rsid w:val="00B01454"/>
    <w:rsid w:val="00B7606A"/>
    <w:rsid w:val="00B974C8"/>
    <w:rsid w:val="00BF2ED0"/>
    <w:rsid w:val="00C562DB"/>
    <w:rsid w:val="00C7469C"/>
    <w:rsid w:val="00D11ED5"/>
    <w:rsid w:val="00D83B98"/>
    <w:rsid w:val="00D84C3C"/>
    <w:rsid w:val="00DA22BC"/>
    <w:rsid w:val="00DC5CAE"/>
    <w:rsid w:val="00E13D2A"/>
    <w:rsid w:val="00EB34CA"/>
    <w:rsid w:val="00EE1D8F"/>
    <w:rsid w:val="00EF6496"/>
    <w:rsid w:val="00F14DB7"/>
    <w:rsid w:val="00F62C67"/>
    <w:rsid w:val="00F85B3D"/>
    <w:rsid w:val="00FA6146"/>
    <w:rsid w:val="00FA6B1B"/>
    <w:rsid w:val="01084EFA"/>
    <w:rsid w:val="01A103EB"/>
    <w:rsid w:val="01BB131C"/>
    <w:rsid w:val="01EA7282"/>
    <w:rsid w:val="02002369"/>
    <w:rsid w:val="023D213A"/>
    <w:rsid w:val="02782F35"/>
    <w:rsid w:val="02EA681D"/>
    <w:rsid w:val="034D121B"/>
    <w:rsid w:val="03734737"/>
    <w:rsid w:val="03BB3820"/>
    <w:rsid w:val="04617243"/>
    <w:rsid w:val="04C6681A"/>
    <w:rsid w:val="05783A4E"/>
    <w:rsid w:val="061C7763"/>
    <w:rsid w:val="06D7511E"/>
    <w:rsid w:val="077028C5"/>
    <w:rsid w:val="07F01E33"/>
    <w:rsid w:val="08BF0FFB"/>
    <w:rsid w:val="093C0B30"/>
    <w:rsid w:val="094D191C"/>
    <w:rsid w:val="098C1672"/>
    <w:rsid w:val="0A0C48C5"/>
    <w:rsid w:val="0A297DFA"/>
    <w:rsid w:val="0BB9501C"/>
    <w:rsid w:val="0D3E26CF"/>
    <w:rsid w:val="0D40750F"/>
    <w:rsid w:val="0D8E0E8E"/>
    <w:rsid w:val="0EC47F41"/>
    <w:rsid w:val="0EF63BA2"/>
    <w:rsid w:val="0F890C0D"/>
    <w:rsid w:val="10BB542C"/>
    <w:rsid w:val="1111745B"/>
    <w:rsid w:val="117733F5"/>
    <w:rsid w:val="12705D50"/>
    <w:rsid w:val="13332687"/>
    <w:rsid w:val="14521E28"/>
    <w:rsid w:val="152E4768"/>
    <w:rsid w:val="163E57E4"/>
    <w:rsid w:val="163F5AED"/>
    <w:rsid w:val="16634540"/>
    <w:rsid w:val="16697D92"/>
    <w:rsid w:val="18092C79"/>
    <w:rsid w:val="1BC2701A"/>
    <w:rsid w:val="1C3808F4"/>
    <w:rsid w:val="1D0F7176"/>
    <w:rsid w:val="1D3B09E8"/>
    <w:rsid w:val="1D461175"/>
    <w:rsid w:val="1D592F55"/>
    <w:rsid w:val="1EDD5E12"/>
    <w:rsid w:val="1FA27A80"/>
    <w:rsid w:val="21C0385A"/>
    <w:rsid w:val="22427C7C"/>
    <w:rsid w:val="22493576"/>
    <w:rsid w:val="239718D8"/>
    <w:rsid w:val="2614231E"/>
    <w:rsid w:val="266852F6"/>
    <w:rsid w:val="2672376B"/>
    <w:rsid w:val="26AA146B"/>
    <w:rsid w:val="26FC22CB"/>
    <w:rsid w:val="27461389"/>
    <w:rsid w:val="27682872"/>
    <w:rsid w:val="276B2515"/>
    <w:rsid w:val="284C4196"/>
    <w:rsid w:val="29FB3CAD"/>
    <w:rsid w:val="2B750EE5"/>
    <w:rsid w:val="2BC77D6D"/>
    <w:rsid w:val="2C365A21"/>
    <w:rsid w:val="2DEA3FE0"/>
    <w:rsid w:val="2E632D8E"/>
    <w:rsid w:val="2F6B2623"/>
    <w:rsid w:val="310F3EEA"/>
    <w:rsid w:val="3145270A"/>
    <w:rsid w:val="31546254"/>
    <w:rsid w:val="318B2773"/>
    <w:rsid w:val="326072A3"/>
    <w:rsid w:val="331337AE"/>
    <w:rsid w:val="3320268A"/>
    <w:rsid w:val="33360E24"/>
    <w:rsid w:val="335B57C9"/>
    <w:rsid w:val="34F8384B"/>
    <w:rsid w:val="35922E77"/>
    <w:rsid w:val="35A3118C"/>
    <w:rsid w:val="35B95535"/>
    <w:rsid w:val="363828B7"/>
    <w:rsid w:val="36496DF1"/>
    <w:rsid w:val="36DA07E5"/>
    <w:rsid w:val="37D676CD"/>
    <w:rsid w:val="384A53F2"/>
    <w:rsid w:val="38F80D78"/>
    <w:rsid w:val="39A46A28"/>
    <w:rsid w:val="39E80561"/>
    <w:rsid w:val="3A0043D4"/>
    <w:rsid w:val="3A097398"/>
    <w:rsid w:val="3A2B582C"/>
    <w:rsid w:val="3A361A42"/>
    <w:rsid w:val="3A417197"/>
    <w:rsid w:val="3A641800"/>
    <w:rsid w:val="3BAA3D49"/>
    <w:rsid w:val="3C7407C7"/>
    <w:rsid w:val="3CCC3765"/>
    <w:rsid w:val="3D6C7FB8"/>
    <w:rsid w:val="3D722DE8"/>
    <w:rsid w:val="3E1070B4"/>
    <w:rsid w:val="3E40061E"/>
    <w:rsid w:val="407E4120"/>
    <w:rsid w:val="40EB27CA"/>
    <w:rsid w:val="41106EC2"/>
    <w:rsid w:val="41B530E9"/>
    <w:rsid w:val="42FE6312"/>
    <w:rsid w:val="43491941"/>
    <w:rsid w:val="439208A2"/>
    <w:rsid w:val="43A90A8F"/>
    <w:rsid w:val="457F252F"/>
    <w:rsid w:val="458A2DFB"/>
    <w:rsid w:val="4621183A"/>
    <w:rsid w:val="46670439"/>
    <w:rsid w:val="477A6155"/>
    <w:rsid w:val="47E067C0"/>
    <w:rsid w:val="47EE2B83"/>
    <w:rsid w:val="48CD1EE6"/>
    <w:rsid w:val="49B25033"/>
    <w:rsid w:val="4B772CA2"/>
    <w:rsid w:val="4BCB0BCC"/>
    <w:rsid w:val="4C4A655E"/>
    <w:rsid w:val="4DEE65DD"/>
    <w:rsid w:val="4F2B1C0A"/>
    <w:rsid w:val="4F7F4621"/>
    <w:rsid w:val="4F896F76"/>
    <w:rsid w:val="4FE111E6"/>
    <w:rsid w:val="50825084"/>
    <w:rsid w:val="510473B6"/>
    <w:rsid w:val="51AC536F"/>
    <w:rsid w:val="51B16F56"/>
    <w:rsid w:val="51BA6BE4"/>
    <w:rsid w:val="52272C26"/>
    <w:rsid w:val="52491C44"/>
    <w:rsid w:val="52C71D5F"/>
    <w:rsid w:val="5311478A"/>
    <w:rsid w:val="53393FAA"/>
    <w:rsid w:val="546C20CA"/>
    <w:rsid w:val="555F6D08"/>
    <w:rsid w:val="571C08FF"/>
    <w:rsid w:val="57653B99"/>
    <w:rsid w:val="57BB2E82"/>
    <w:rsid w:val="594115BA"/>
    <w:rsid w:val="59C75C36"/>
    <w:rsid w:val="5B2D2197"/>
    <w:rsid w:val="5BED1C1B"/>
    <w:rsid w:val="5DC52636"/>
    <w:rsid w:val="5E44784E"/>
    <w:rsid w:val="5E7013AE"/>
    <w:rsid w:val="5F362A6F"/>
    <w:rsid w:val="614C5FC2"/>
    <w:rsid w:val="622B563C"/>
    <w:rsid w:val="62374DF5"/>
    <w:rsid w:val="627903F3"/>
    <w:rsid w:val="640B7771"/>
    <w:rsid w:val="653B054F"/>
    <w:rsid w:val="65422429"/>
    <w:rsid w:val="65E4046C"/>
    <w:rsid w:val="65FC516D"/>
    <w:rsid w:val="6635783D"/>
    <w:rsid w:val="664F0542"/>
    <w:rsid w:val="66D53075"/>
    <w:rsid w:val="687A4B11"/>
    <w:rsid w:val="688A6445"/>
    <w:rsid w:val="6906667E"/>
    <w:rsid w:val="6962495D"/>
    <w:rsid w:val="698B7933"/>
    <w:rsid w:val="69CD4ABA"/>
    <w:rsid w:val="69DB47EC"/>
    <w:rsid w:val="6A3D26BD"/>
    <w:rsid w:val="6BC03120"/>
    <w:rsid w:val="6C954755"/>
    <w:rsid w:val="6CB82567"/>
    <w:rsid w:val="6CBB0195"/>
    <w:rsid w:val="6D3D65AB"/>
    <w:rsid w:val="6E2D5176"/>
    <w:rsid w:val="6F7C76CB"/>
    <w:rsid w:val="70601C26"/>
    <w:rsid w:val="71487C1C"/>
    <w:rsid w:val="73D50EF1"/>
    <w:rsid w:val="74CD6888"/>
    <w:rsid w:val="750C117F"/>
    <w:rsid w:val="75530364"/>
    <w:rsid w:val="75EC0337"/>
    <w:rsid w:val="75EF1F10"/>
    <w:rsid w:val="765471CE"/>
    <w:rsid w:val="76EC0685"/>
    <w:rsid w:val="76F20954"/>
    <w:rsid w:val="77A97D16"/>
    <w:rsid w:val="78EB489D"/>
    <w:rsid w:val="790752A3"/>
    <w:rsid w:val="791B04C9"/>
    <w:rsid w:val="79E37E4A"/>
    <w:rsid w:val="79FD289A"/>
    <w:rsid w:val="7C8224E1"/>
    <w:rsid w:val="7D2B537C"/>
    <w:rsid w:val="7D58417B"/>
    <w:rsid w:val="7D6548A1"/>
    <w:rsid w:val="7D977AEB"/>
    <w:rsid w:val="7DF319EE"/>
    <w:rsid w:val="7E2D2773"/>
    <w:rsid w:val="7ED911A0"/>
    <w:rsid w:val="7F11423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99"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qFormat/>
    <w:uiPriority w:val="0"/>
    <w:pPr>
      <w:keepNext/>
      <w:keepLines/>
      <w:widowControl w:val="0"/>
      <w:spacing w:before="340" w:after="330" w:line="578" w:lineRule="auto"/>
      <w:outlineLvl w:val="0"/>
    </w:pPr>
    <w:rPr>
      <w:b/>
      <w:kern w:val="44"/>
      <w:sz w:val="44"/>
    </w:rPr>
  </w:style>
  <w:style w:type="paragraph" w:styleId="4">
    <w:name w:val="heading 2"/>
    <w:basedOn w:val="1"/>
    <w:next w:val="1"/>
    <w:qFormat/>
    <w:uiPriority w:val="0"/>
    <w:pPr>
      <w:keepNext/>
      <w:keepLines/>
      <w:widowControl w:val="0"/>
      <w:spacing w:before="260" w:after="260" w:line="415" w:lineRule="auto"/>
      <w:outlineLvl w:val="1"/>
    </w:pPr>
    <w:rPr>
      <w:rFonts w:ascii="Arial" w:hAnsi="Arial" w:eastAsia="黑体"/>
      <w:b/>
      <w:sz w:val="32"/>
    </w:rPr>
  </w:style>
  <w:style w:type="paragraph" w:styleId="5">
    <w:name w:val="heading 3"/>
    <w:basedOn w:val="1"/>
    <w:next w:val="1"/>
    <w:qFormat/>
    <w:uiPriority w:val="0"/>
    <w:pPr>
      <w:keepNext/>
      <w:keepLines/>
      <w:widowControl w:val="0"/>
      <w:spacing w:before="260" w:after="260" w:line="415" w:lineRule="auto"/>
      <w:outlineLvl w:val="2"/>
    </w:pPr>
    <w:rPr>
      <w:b/>
      <w:sz w:val="32"/>
    </w:rPr>
  </w:style>
  <w:style w:type="character" w:default="1" w:styleId="18">
    <w:name w:val="Default Paragraph Font"/>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Body Text 3"/>
    <w:basedOn w:val="1"/>
    <w:qFormat/>
    <w:uiPriority w:val="0"/>
    <w:pPr>
      <w:spacing w:after="120"/>
    </w:pPr>
    <w:rPr>
      <w:sz w:val="16"/>
      <w:szCs w:val="16"/>
    </w:rPr>
  </w:style>
  <w:style w:type="paragraph" w:styleId="6">
    <w:name w:val="Normal Indent"/>
    <w:basedOn w:val="1"/>
    <w:next w:val="7"/>
    <w:qFormat/>
    <w:uiPriority w:val="99"/>
    <w:pPr>
      <w:ind w:firstLine="200" w:firstLineChars="200"/>
    </w:pPr>
  </w:style>
  <w:style w:type="paragraph" w:styleId="7">
    <w:name w:val="index 6"/>
    <w:basedOn w:val="1"/>
    <w:next w:val="1"/>
    <w:semiHidden/>
    <w:qFormat/>
    <w:uiPriority w:val="99"/>
    <w:pPr>
      <w:ind w:left="1000" w:leftChars="1000"/>
    </w:pPr>
    <w:rPr>
      <w:rFonts w:ascii="Calibri" w:hAnsi="Calibri"/>
    </w:rPr>
  </w:style>
  <w:style w:type="paragraph" w:styleId="8">
    <w:name w:val="Body Text"/>
    <w:next w:val="9"/>
    <w:qFormat/>
    <w:uiPriority w:val="0"/>
    <w:pPr>
      <w:widowControl w:val="0"/>
      <w:spacing w:line="500" w:lineRule="exact"/>
      <w:jc w:val="both"/>
    </w:pPr>
    <w:rPr>
      <w:rFonts w:ascii="Calibri" w:hAnsi="Calibri" w:eastAsia="宋体" w:cs="Times New Roman"/>
      <w:kern w:val="2"/>
      <w:sz w:val="28"/>
      <w:szCs w:val="24"/>
      <w:lang w:val="en-US" w:eastAsia="zh-CN" w:bidi="ar-SA"/>
    </w:rPr>
  </w:style>
  <w:style w:type="paragraph" w:styleId="9">
    <w:name w:val="header"/>
    <w:basedOn w:val="1"/>
    <w:qFormat/>
    <w:uiPriority w:val="0"/>
    <w:pPr>
      <w:pBdr>
        <w:bottom w:val="single" w:color="auto" w:sz="6" w:space="1"/>
      </w:pBdr>
      <w:tabs>
        <w:tab w:val="center" w:pos="4153"/>
        <w:tab w:val="right" w:pos="8307"/>
      </w:tabs>
      <w:snapToGrid w:val="0"/>
      <w:jc w:val="center"/>
    </w:pPr>
    <w:rPr>
      <w:sz w:val="18"/>
    </w:rPr>
  </w:style>
  <w:style w:type="paragraph" w:styleId="10">
    <w:name w:val="Body Text Indent"/>
    <w:next w:val="8"/>
    <w:qFormat/>
    <w:uiPriority w:val="0"/>
    <w:pPr>
      <w:widowControl w:val="0"/>
      <w:spacing w:after="120"/>
      <w:ind w:left="200" w:leftChars="200"/>
      <w:jc w:val="both"/>
    </w:pPr>
    <w:rPr>
      <w:rFonts w:ascii="Calibri" w:hAnsi="Calibri" w:eastAsia="宋体" w:cs="Times New Roman"/>
      <w:kern w:val="2"/>
      <w:sz w:val="21"/>
      <w:szCs w:val="24"/>
      <w:lang w:val="en-US" w:eastAsia="zh-CN" w:bidi="ar-SA"/>
    </w:rPr>
  </w:style>
  <w:style w:type="paragraph" w:styleId="11">
    <w:name w:val="Date"/>
    <w:basedOn w:val="1"/>
    <w:next w:val="1"/>
    <w:qFormat/>
    <w:uiPriority w:val="0"/>
    <w:pPr>
      <w:ind w:left="2500" w:leftChars="2500"/>
    </w:pPr>
  </w:style>
  <w:style w:type="paragraph" w:styleId="12">
    <w:name w:val="footer"/>
    <w:basedOn w:val="1"/>
    <w:qFormat/>
    <w:uiPriority w:val="0"/>
    <w:pPr>
      <w:tabs>
        <w:tab w:val="center" w:pos="4153"/>
        <w:tab w:val="right" w:pos="8307"/>
      </w:tabs>
      <w:snapToGrid w:val="0"/>
      <w:jc w:val="left"/>
    </w:pPr>
    <w:rPr>
      <w:sz w:val="18"/>
    </w:rPr>
  </w:style>
  <w:style w:type="paragraph" w:styleId="13">
    <w:name w:val="Body Text Indent 3"/>
    <w:next w:val="14"/>
    <w:qFormat/>
    <w:uiPriority w:val="0"/>
    <w:pPr>
      <w:widowControl w:val="0"/>
      <w:spacing w:after="120"/>
      <w:ind w:left="200" w:leftChars="200"/>
      <w:jc w:val="both"/>
    </w:pPr>
    <w:rPr>
      <w:rFonts w:ascii="Calibri" w:hAnsi="Calibri" w:eastAsia="宋体" w:cs="宋体"/>
      <w:kern w:val="2"/>
      <w:sz w:val="16"/>
      <w:szCs w:val="16"/>
      <w:lang w:val="en-US" w:eastAsia="zh-CN" w:bidi="ar-SA"/>
    </w:rPr>
  </w:style>
  <w:style w:type="paragraph" w:customStyle="1" w:styleId="14">
    <w:name w:val="p0"/>
    <w:next w:val="1"/>
    <w:qFormat/>
    <w:uiPriority w:val="0"/>
    <w:pPr>
      <w:jc w:val="both"/>
    </w:pPr>
    <w:rPr>
      <w:rFonts w:ascii="宋体" w:hAnsi="Calibri" w:eastAsia="宋体" w:cs="宋体"/>
      <w:sz w:val="21"/>
      <w:szCs w:val="21"/>
      <w:lang w:val="en-US" w:eastAsia="zh-CN" w:bidi="ar-SA"/>
    </w:rPr>
  </w:style>
  <w:style w:type="paragraph" w:styleId="15">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6">
    <w:name w:val="Normal (Web)"/>
    <w:qFormat/>
    <w:uiPriority w:val="0"/>
    <w:pPr>
      <w:widowControl w:val="0"/>
      <w:spacing w:before="100" w:beforeAutospacing="1" w:after="100" w:afterAutospacing="1"/>
    </w:pPr>
    <w:rPr>
      <w:rFonts w:ascii="Calibri" w:hAnsi="Calibri" w:eastAsia="宋体" w:cs="Times New Roman"/>
      <w:sz w:val="24"/>
      <w:szCs w:val="24"/>
      <w:lang w:val="en-US" w:eastAsia="zh-CN" w:bidi="ar-SA"/>
    </w:rPr>
  </w:style>
  <w:style w:type="character" w:styleId="19">
    <w:name w:val="Strong"/>
    <w:qFormat/>
    <w:uiPriority w:val="0"/>
    <w:rPr>
      <w:b/>
      <w:bCs/>
    </w:rPr>
  </w:style>
  <w:style w:type="character" w:styleId="20">
    <w:name w:val="page number"/>
    <w:basedOn w:val="18"/>
    <w:qFormat/>
    <w:uiPriority w:val="0"/>
  </w:style>
  <w:style w:type="paragraph" w:customStyle="1" w:styleId="21">
    <w:name w:val="List Paragraph"/>
    <w:next w:val="9"/>
    <w:qFormat/>
    <w:uiPriority w:val="0"/>
    <w:pPr>
      <w:widowControl w:val="0"/>
      <w:ind w:firstLine="200" w:firstLineChars="200"/>
      <w:jc w:val="both"/>
    </w:pPr>
    <w:rPr>
      <w:rFonts w:ascii="Calibri" w:hAnsi="Calibri" w:eastAsia="宋体" w:cs="Arial"/>
      <w:kern w:val="2"/>
      <w:sz w:val="21"/>
      <w:szCs w:val="22"/>
      <w:lang w:val="en-US" w:eastAsia="zh-CN" w:bidi="ar-SA"/>
    </w:rPr>
  </w:style>
  <w:style w:type="paragraph" w:customStyle="1" w:styleId="22">
    <w:name w:val="样式"/>
    <w:qFormat/>
    <w:uiPriority w:val="0"/>
    <w:pPr>
      <w:widowControl w:val="0"/>
      <w:autoSpaceDE w:val="0"/>
      <w:autoSpaceDN w:val="0"/>
      <w:adjustRightInd w:val="0"/>
    </w:pPr>
    <w:rPr>
      <w:rFonts w:ascii="宋体" w:hAnsi="Calibri" w:eastAsia="宋体" w:cs="宋体"/>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1448</Words>
  <Characters>1505</Characters>
  <Lines>4</Lines>
  <Paragraphs>1</Paragraphs>
  <TotalTime>0</TotalTime>
  <ScaleCrop>false</ScaleCrop>
  <LinksUpToDate>false</LinksUpToDate>
  <CharactersWithSpaces>1510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2017-05-15T02:47:00Z</dcterms:created>
  <dc:creator>微软用户</dc:creator>
  <cp:lastModifiedBy>凌霄静默</cp:lastModifiedBy>
  <cp:lastPrinted>2024-02-03T01:35:00Z</cp:lastPrinted>
  <dcterms:modified xsi:type="dcterms:W3CDTF">2024-07-04T03:45:14Z</dcterms:modified>
  <dc:title>宜君县人民政府文件</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2B646BA598294016B0795FD5F90328A8_13</vt:lpwstr>
  </property>
</Properties>
</file>