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方正小标宋简体" w:eastAsia="方正小标宋简体"/>
          <w:color w:val="FF0000"/>
          <w:kern w:val="0"/>
          <w:szCs w:val="21"/>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方正小标宋简体" w:eastAsia="方正小标宋简体"/>
          <w:color w:val="FF0000"/>
          <w:kern w:val="0"/>
          <w:szCs w:val="21"/>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方正小标宋简体" w:eastAsia="方正小标宋简体"/>
          <w:color w:val="FF0000"/>
          <w:kern w:val="0"/>
          <w:szCs w:val="21"/>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简体" w:eastAsia="方正小标宋简体"/>
          <w:color w:val="FF0000"/>
          <w:spacing w:val="240"/>
          <w:sz w:val="104"/>
          <w:szCs w:val="104"/>
        </w:rPr>
      </w:pPr>
      <w:r>
        <w:rPr>
          <w:rFonts w:hint="eastAsia" w:ascii="方正小标宋简体" w:eastAsia="方正小标宋简体"/>
          <w:color w:val="FF0000"/>
          <w:w w:val="98"/>
          <w:kern w:val="0"/>
          <w:sz w:val="104"/>
          <w:szCs w:val="104"/>
          <w:fitText w:val="8208" w:id="0"/>
        </w:rPr>
        <w:t>白河县林业局文</w:t>
      </w:r>
      <w:r>
        <w:rPr>
          <w:rFonts w:hint="eastAsia" w:ascii="方正小标宋简体" w:eastAsia="方正小标宋简体"/>
          <w:color w:val="FF0000"/>
          <w:spacing w:val="41"/>
          <w:w w:val="98"/>
          <w:kern w:val="0"/>
          <w:sz w:val="104"/>
          <w:szCs w:val="104"/>
          <w:fitText w:val="8208" w:id="0"/>
        </w:rPr>
        <w:t>件</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方正小标宋简体" w:eastAsia="方正小标宋简体"/>
          <w:sz w:val="32"/>
          <w:szCs w:val="32"/>
        </w:rPr>
      </w:pPr>
      <w:r>
        <w:rPr>
          <w:rFonts w:hint="eastAsia" w:ascii="仿宋_GB2312" w:hAnsi="??" w:eastAsia="仿宋_GB2312" w:cs="宋体"/>
          <w:kern w:val="0"/>
          <w:sz w:val="32"/>
          <w:szCs w:val="32"/>
        </w:rPr>
        <w:t>白林</w:t>
      </w:r>
      <w:r>
        <w:rPr>
          <w:rFonts w:hint="eastAsia" w:ascii="仿宋_GB2312" w:hAnsi="??" w:eastAsia="仿宋_GB2312" w:cs="宋体"/>
          <w:kern w:val="0"/>
          <w:sz w:val="32"/>
          <w:szCs w:val="32"/>
          <w:lang w:eastAsia="zh-CN"/>
        </w:rPr>
        <w:t>字</w:t>
      </w: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w:t>
      </w:r>
      <w:r>
        <w:rPr>
          <w:rFonts w:hint="eastAsia" w:ascii="仿宋_GB2312" w:eastAsia="仿宋_GB2312"/>
          <w:sz w:val="32"/>
          <w:szCs w:val="32"/>
          <w:lang w:val="en-US" w:eastAsia="zh-CN"/>
        </w:rPr>
        <w:t>187</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小标宋简体" w:eastAsia="方正小标宋简体"/>
          <w:sz w:val="32"/>
          <w:szCs w:val="32"/>
        </w:rPr>
      </w:pPr>
      <w:r>
        <w:rPr>
          <w:rFonts w:ascii="仿宋_GB2312" w:eastAsia="仿宋_GB2312"/>
          <w:sz w:val="32"/>
          <w:szCs w:val="32"/>
        </w:rPr>
        <w:pict>
          <v:line id="直接连接符 1" o:spid="_x0000_s1028" o:spt="20" style="position:absolute;left:0pt;margin-left:1.55pt;margin-top:8.9pt;height:0pt;width:441pt;z-index:251660288;mso-width-relative:page;mso-height-relative:page;" filled="f" stroked="t" coordsize="21600,21600" o:gfxdata="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1/aDC1AAAAAcBAAAPAAAAAAAA&#10;AAEAIAAAACIAAABkcnMvZG93bnJldi54bWxQSwECFAAUAAAACACHTuJANA6wxt0BAACXAwAADgAA&#10;AAAAAAABACAAAAAjAQAAZHJzL2Uyb0RvYy54bWxQSwUGAAAAAAYABgBZAQAAcgUAAAAA&#10;">
            <v:path arrowok="t"/>
            <v:fill on="f" focussize="0,0"/>
            <v:stroke weight="2.25pt" color="#FF0000" joinstyle="round"/>
            <v:imagedata o:title=""/>
            <o:lock v:ext="edit" aspectratio="f"/>
          </v:line>
        </w:pic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白河县林业局</w:t>
      </w:r>
    </w:p>
    <w:p>
      <w:pPr>
        <w:keepNext w:val="0"/>
        <w:keepLines w:val="0"/>
        <w:pageBreakBefore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b w:val="0"/>
          <w:bCs w:val="0"/>
          <w:color w:val="000000" w:themeColor="text1"/>
          <w:sz w:val="44"/>
          <w:szCs w:val="44"/>
          <w:lang w:eastAsia="zh-CN"/>
        </w:rPr>
      </w:pPr>
      <w:r>
        <w:rPr>
          <w:rFonts w:hint="eastAsia" w:ascii="方正小标宋简体" w:hAnsi="方正小标宋简体" w:eastAsia="方正小标宋简体" w:cs="方正小标宋简体"/>
          <w:b w:val="0"/>
          <w:bCs w:val="0"/>
          <w:color w:val="000000" w:themeColor="text1"/>
          <w:sz w:val="44"/>
          <w:szCs w:val="44"/>
        </w:rPr>
        <w:t>关于</w:t>
      </w:r>
      <w:r>
        <w:rPr>
          <w:rFonts w:hint="eastAsia" w:ascii="方正小标宋简体" w:hAnsi="方正小标宋简体" w:eastAsia="方正小标宋简体" w:cs="方正小标宋简体"/>
          <w:b w:val="0"/>
          <w:bCs w:val="0"/>
          <w:color w:val="000000" w:themeColor="text1"/>
          <w:sz w:val="44"/>
          <w:szCs w:val="44"/>
          <w:lang w:eastAsia="zh-CN"/>
        </w:rPr>
        <w:t>报送</w:t>
      </w:r>
      <w:r>
        <w:rPr>
          <w:rFonts w:hint="eastAsia" w:ascii="方正小标宋简体" w:hAnsi="方正小标宋简体" w:eastAsia="方正小标宋简体" w:cs="方正小标宋简体"/>
          <w:b w:val="0"/>
          <w:bCs w:val="0"/>
          <w:color w:val="000000" w:themeColor="text1"/>
          <w:sz w:val="44"/>
          <w:szCs w:val="44"/>
        </w:rPr>
        <w:t>《</w:t>
      </w:r>
      <w:r>
        <w:rPr>
          <w:rFonts w:hint="eastAsia" w:ascii="方正小标宋简体" w:hAnsi="方正小标宋简体" w:eastAsia="方正小标宋简体" w:cs="方正小标宋简体"/>
          <w:b w:val="0"/>
          <w:bCs w:val="0"/>
          <w:color w:val="000000" w:themeColor="text1"/>
          <w:sz w:val="44"/>
          <w:szCs w:val="44"/>
          <w:lang w:eastAsia="zh-CN"/>
        </w:rPr>
        <w:t>白河县2024年度林下经济</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补助项目</w:t>
      </w:r>
      <w:r>
        <w:rPr>
          <w:rFonts w:hint="eastAsia" w:ascii="方正小标宋简体" w:eastAsia="方正小标宋简体"/>
          <w:sz w:val="44"/>
          <w:szCs w:val="44"/>
        </w:rPr>
        <w:t>实施方案》的</w:t>
      </w:r>
      <w:r>
        <w:rPr>
          <w:rFonts w:hint="eastAsia" w:ascii="方正小标宋简体" w:eastAsia="方正小标宋简体"/>
          <w:sz w:val="44"/>
          <w:szCs w:val="44"/>
          <w:lang w:eastAsia="zh-CN"/>
        </w:rPr>
        <w:t>通知</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简体" w:eastAsia="方正小标宋简体"/>
          <w:sz w:val="44"/>
          <w:szCs w:val="44"/>
          <w:lang w:eastAsia="zh-CN"/>
        </w:rPr>
      </w:pPr>
    </w:p>
    <w:p>
      <w:pPr>
        <w:spacing w:line="520" w:lineRule="exact"/>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县乡村振兴局、县财政局</w:t>
      </w:r>
      <w:r>
        <w:rPr>
          <w:rFonts w:hint="eastAsia" w:ascii="仿宋_GB2312" w:hAnsi="仿宋_GB2312" w:eastAsia="仿宋_GB2312" w:cs="仿宋_GB2312"/>
          <w:color w:val="000000" w:themeColor="text1"/>
          <w:sz w:val="32"/>
          <w:szCs w:val="32"/>
        </w:rPr>
        <w:t>：</w:t>
      </w:r>
    </w:p>
    <w:p>
      <w:pPr>
        <w:spacing w:line="520" w:lineRule="exact"/>
        <w:ind w:firstLine="640" w:firstLineChars="200"/>
        <w:jc w:val="left"/>
        <w:rPr>
          <w:rFonts w:hint="eastAsia" w:eastAsia="仿宋_GB2312"/>
          <w:lang w:eastAsia="zh-CN"/>
        </w:rPr>
      </w:pPr>
      <w:r>
        <w:rPr>
          <w:rFonts w:hint="eastAsia" w:ascii="仿宋_GB2312" w:hAnsi="仿宋_GB2312" w:eastAsia="仿宋_GB2312" w:cs="仿宋_GB2312"/>
          <w:color w:val="000000" w:themeColor="text1"/>
          <w:sz w:val="32"/>
          <w:szCs w:val="32"/>
          <w:lang w:eastAsia="zh-CN"/>
        </w:rPr>
        <w:t>现随文报来</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白河县</w:t>
      </w:r>
      <w:r>
        <w:rPr>
          <w:rFonts w:hint="eastAsia" w:ascii="仿宋_GB2312" w:hAnsi="仿宋_GB2312" w:eastAsia="仿宋_GB2312" w:cs="仿宋_GB2312"/>
          <w:color w:val="000000" w:themeColor="text1"/>
          <w:sz w:val="32"/>
          <w:szCs w:val="32"/>
        </w:rPr>
        <w:t>202</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年度</w:t>
      </w:r>
      <w:r>
        <w:rPr>
          <w:rFonts w:hint="eastAsia" w:ascii="仿宋_GB2312" w:hAnsi="仿宋_GB2312" w:eastAsia="仿宋_GB2312" w:cs="仿宋_GB2312"/>
          <w:color w:val="000000" w:themeColor="text1"/>
          <w:sz w:val="32"/>
          <w:szCs w:val="32"/>
          <w:lang w:eastAsia="zh-CN"/>
        </w:rPr>
        <w:t>林下经济补助</w:t>
      </w:r>
      <w:r>
        <w:rPr>
          <w:rFonts w:hint="eastAsia" w:ascii="仿宋_GB2312" w:hAnsi="仿宋_GB2312" w:eastAsia="仿宋_GB2312" w:cs="仿宋_GB2312"/>
          <w:color w:val="000000" w:themeColor="text1"/>
          <w:sz w:val="32"/>
          <w:szCs w:val="32"/>
        </w:rPr>
        <w:t>项目实施方案》</w:t>
      </w:r>
      <w:r>
        <w:rPr>
          <w:rFonts w:hint="eastAsia" w:ascii="仿宋_GB2312" w:hAnsi="仿宋_GB2312" w:eastAsia="仿宋_GB2312" w:cs="仿宋_GB2312"/>
          <w:color w:val="000000" w:themeColor="text1"/>
          <w:sz w:val="32"/>
          <w:szCs w:val="32"/>
          <w:lang w:eastAsia="zh-CN"/>
        </w:rPr>
        <w:t>，请审阅。</w:t>
      </w:r>
    </w:p>
    <w:p>
      <w:pPr>
        <w:spacing w:line="520" w:lineRule="exact"/>
        <w:ind w:firstLine="5760" w:firstLineChars="1800"/>
        <w:jc w:val="left"/>
        <w:rPr>
          <w:rFonts w:hint="eastAsia" w:ascii="仿宋_GB2312" w:hAnsi="仿宋_GB2312" w:eastAsia="仿宋_GB2312" w:cs="仿宋_GB2312"/>
          <w:color w:val="000000" w:themeColor="text1"/>
          <w:sz w:val="32"/>
          <w:szCs w:val="32"/>
        </w:rPr>
      </w:pPr>
    </w:p>
    <w:p>
      <w:pPr>
        <w:spacing w:line="520" w:lineRule="exact"/>
        <w:ind w:firstLine="5760" w:firstLineChars="1800"/>
        <w:jc w:val="left"/>
        <w:rPr>
          <w:rFonts w:hint="eastAsia" w:ascii="仿宋_GB2312" w:hAnsi="仿宋_GB2312" w:eastAsia="仿宋_GB2312" w:cs="仿宋_GB2312"/>
          <w:color w:val="000000" w:themeColor="text1"/>
          <w:sz w:val="32"/>
          <w:szCs w:val="32"/>
        </w:rPr>
      </w:pPr>
      <w:r>
        <w:rPr>
          <w:sz w:val="32"/>
        </w:rPr>
        <w:pict>
          <v:shape id="_x0000_s1029" o:spid="_x0000_s1029" o:spt="201" type="#_x0000_t201" style="position:absolute;left:0pt;margin-left:350.3pt;margin-top:569.35pt;height:120pt;width:120pt;mso-position-horizontal-relative:page;mso-position-vertical-relative:page;z-index:251661312;mso-width-relative:page;mso-height-relative:page;" o:ole="t" filled="f" o:preferrelative="t" stroked="f" coordsize="21600,21600">
            <v:path/>
            <v:fill on="f" focussize="0,0"/>
            <v:stroke on="f"/>
            <v:imagedata r:id="rId6" o:title=""/>
            <o:lock v:ext="edit" aspectratio="f"/>
            <w10:anchorlock/>
          </v:shape>
          <w:control r:id="rId5" w:name="SecSignControl1" w:shapeid="_x0000_s1029"/>
        </w:pict>
      </w:r>
    </w:p>
    <w:p>
      <w:pPr>
        <w:spacing w:line="520" w:lineRule="exact"/>
        <w:ind w:firstLine="5760" w:firstLineChars="1800"/>
        <w:jc w:val="left"/>
        <w:rPr>
          <w:rFonts w:hint="eastAsia" w:ascii="仿宋_GB2312" w:hAnsi="仿宋_GB2312" w:eastAsia="仿宋_GB2312" w:cs="仿宋_GB2312"/>
          <w:color w:val="000000" w:themeColor="text1"/>
          <w:sz w:val="32"/>
          <w:szCs w:val="32"/>
        </w:rPr>
      </w:pPr>
    </w:p>
    <w:p>
      <w:pPr>
        <w:spacing w:line="520" w:lineRule="exact"/>
        <w:ind w:firstLine="5760" w:firstLineChars="1800"/>
        <w:jc w:val="left"/>
        <w:rPr>
          <w:rFonts w:hint="default" w:eastAsia="仿宋_GB2312"/>
          <w:lang w:val="en-US" w:eastAsia="zh-CN"/>
        </w:rPr>
      </w:pPr>
      <w:r>
        <w:rPr>
          <w:rFonts w:hint="eastAsia" w:ascii="仿宋_GB2312" w:hAnsi="仿宋_GB2312" w:eastAsia="仿宋_GB2312" w:cs="仿宋_GB2312"/>
          <w:color w:val="000000" w:themeColor="text1"/>
          <w:sz w:val="32"/>
          <w:szCs w:val="32"/>
        </w:rPr>
        <w:t xml:space="preserve">白河县林业局     </w:t>
      </w:r>
    </w:p>
    <w:p>
      <w:pPr>
        <w:spacing w:line="520" w:lineRule="exact"/>
        <w:ind w:firstLine="4859" w:firstLineChars="1100"/>
        <w:jc w:val="left"/>
        <w:rPr>
          <w:rFonts w:hint="default" w:ascii="仿宋_GB2312" w:hAnsi="仿宋_GB2312" w:eastAsia="仿宋_GB2312" w:cs="仿宋_GB2312"/>
          <w:color w:val="000000" w:themeColor="text1"/>
          <w:sz w:val="32"/>
          <w:szCs w:val="32"/>
          <w:lang w:val="en-US" w:eastAsia="zh-CN"/>
        </w:rPr>
      </w:pPr>
      <w:r>
        <w:rPr>
          <w:rFonts w:hint="eastAsia" w:ascii="方正小标宋简体" w:hAnsi="方正小标宋简体" w:eastAsia="方正小标宋简体" w:cs="方正小标宋简体"/>
          <w:b/>
          <w:bCs/>
          <w:color w:val="000000" w:themeColor="text1"/>
          <w:sz w:val="44"/>
          <w:szCs w:val="44"/>
          <w:lang w:val="en-US" w:eastAsia="zh-CN"/>
        </w:rPr>
        <w:t xml:space="preserve">   </w:t>
      </w:r>
      <w:r>
        <w:rPr>
          <w:rFonts w:hint="eastAsia" w:ascii="仿宋_GB2312" w:hAnsi="仿宋_GB2312" w:eastAsia="仿宋_GB2312" w:cs="仿宋_GB2312"/>
          <w:color w:val="000000" w:themeColor="text1"/>
          <w:sz w:val="32"/>
          <w:szCs w:val="32"/>
          <w:lang w:val="en-US" w:eastAsia="zh-CN"/>
        </w:rPr>
        <w:t>2024年7月3日</w:t>
      </w:r>
    </w:p>
    <w:p>
      <w:pPr>
        <w:pBdr>
          <w:bottom w:val="none" w:color="auto" w:sz="0" w:space="0"/>
        </w:pBdr>
        <w:spacing w:line="520" w:lineRule="exact"/>
        <w:ind w:firstLine="5760" w:firstLineChars="1800"/>
        <w:jc w:val="left"/>
        <w:rPr>
          <w:rFonts w:hint="eastAsia" w:ascii="仿宋_GB2312" w:hAnsi="仿宋_GB2312" w:eastAsia="仿宋_GB2312" w:cs="仿宋_GB2312"/>
          <w:color w:val="000000" w:themeColor="text1"/>
          <w:sz w:val="32"/>
          <w:szCs w:val="32"/>
          <w:lang w:eastAsia="zh-CN"/>
        </w:rPr>
      </w:pPr>
    </w:p>
    <w:p>
      <w:pPr>
        <w:pStyle w:val="2"/>
        <w:pBdr>
          <w:top w:val="single" w:color="auto" w:sz="4" w:space="0"/>
          <w:bottom w:val="single" w:color="auto" w:sz="4" w:space="0"/>
        </w:pBdr>
        <w:rPr>
          <w:rFonts w:hint="default" w:ascii="仿宋_GB2312" w:hAnsi="仿宋_GB2312" w:eastAsia="仿宋_GB2312" w:cs="仿宋_GB2312"/>
          <w:color w:val="000000" w:themeColor="text1"/>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rPr>
        <w:t>白河县林业局                       2024年7月3日印发</w:t>
      </w:r>
    </w:p>
    <w:p>
      <w:pPr>
        <w:pStyle w:val="3"/>
        <w:rPr>
          <w:rFonts w:hint="default" w:ascii="仿宋_GB2312" w:hAnsi="仿宋_GB2312" w:eastAsia="仿宋_GB2312" w:cs="仿宋_GB2312"/>
          <w:color w:val="000000" w:themeColor="text1"/>
          <w:kern w:val="2"/>
          <w:sz w:val="32"/>
          <w:szCs w:val="32"/>
          <w:lang w:val="en-US" w:eastAsia="zh-CN" w:bidi="ar-SA"/>
        </w:rPr>
      </w:pPr>
      <w:bookmarkStart w:id="8" w:name="_GoBack"/>
      <w:bookmarkEnd w:id="8"/>
    </w:p>
    <w:p>
      <w:pPr>
        <w:keepNext w:val="0"/>
        <w:keepLines w:val="0"/>
        <w:pageBreakBefore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b/>
          <w:bCs/>
          <w:color w:val="000000" w:themeColor="text1"/>
          <w:sz w:val="44"/>
          <w:szCs w:val="44"/>
          <w:lang w:eastAsia="zh-CN"/>
        </w:rPr>
      </w:pPr>
      <w:r>
        <w:rPr>
          <w:rFonts w:hint="eastAsia" w:ascii="方正小标宋简体" w:hAnsi="方正小标宋简体" w:eastAsia="方正小标宋简体" w:cs="方正小标宋简体"/>
          <w:b/>
          <w:bCs/>
          <w:color w:val="000000" w:themeColor="text1"/>
          <w:sz w:val="44"/>
          <w:szCs w:val="44"/>
          <w:lang w:eastAsia="zh-CN"/>
        </w:rPr>
        <w:t>白河县2024年度林下经济补助项目</w:t>
      </w:r>
    </w:p>
    <w:p>
      <w:pPr>
        <w:keepNext w:val="0"/>
        <w:keepLines w:val="0"/>
        <w:pageBreakBefore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b/>
          <w:bCs/>
          <w:color w:val="000000" w:themeColor="text1"/>
          <w:sz w:val="44"/>
          <w:szCs w:val="44"/>
        </w:rPr>
      </w:pPr>
      <w:r>
        <w:rPr>
          <w:rFonts w:hint="eastAsia" w:ascii="方正小标宋简体" w:hAnsi="方正小标宋简体" w:eastAsia="方正小标宋简体" w:cs="方正小标宋简体"/>
          <w:b/>
          <w:bCs/>
          <w:color w:val="000000" w:themeColor="text1"/>
          <w:sz w:val="44"/>
          <w:szCs w:val="44"/>
        </w:rPr>
        <w:t>实施方案</w:t>
      </w:r>
    </w:p>
    <w:p>
      <w:pPr>
        <w:keepNext w:val="0"/>
        <w:keepLines w:val="0"/>
        <w:pageBreakBefore w:val="0"/>
        <w:kinsoku/>
        <w:wordWrap/>
        <w:overflowPunct/>
        <w:topLinePunct w:val="0"/>
        <w:autoSpaceDE/>
        <w:autoSpaceDN/>
        <w:bidi w:val="0"/>
        <w:spacing w:line="560" w:lineRule="exact"/>
        <w:ind w:firstLine="640" w:firstLineChars="200"/>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spacing w:line="560" w:lineRule="exact"/>
        <w:ind w:firstLine="640" w:firstLineChars="200"/>
        <w:rPr>
          <w:rFonts w:ascii="黑体" w:hAnsi="黑体" w:eastAsia="黑体" w:cs="仿宋_GB2312"/>
          <w:sz w:val="32"/>
          <w:szCs w:val="32"/>
        </w:rPr>
      </w:pPr>
      <w:r>
        <w:rPr>
          <w:rFonts w:hint="eastAsia" w:ascii="黑体" w:hAnsi="黑体" w:eastAsia="黑体" w:cs="黑体"/>
          <w:sz w:val="32"/>
          <w:szCs w:val="32"/>
          <w:lang w:eastAsia="zh-CN"/>
        </w:rPr>
        <w:t>一、</w:t>
      </w:r>
      <w:r>
        <w:rPr>
          <w:rFonts w:ascii="黑体" w:hAnsi="黑体" w:eastAsia="黑体" w:cs="黑体"/>
          <w:sz w:val="32"/>
          <w:szCs w:val="32"/>
        </w:rPr>
        <w:t>编制依据</w:t>
      </w:r>
    </w:p>
    <w:p>
      <w:pPr>
        <w:pStyle w:val="8"/>
        <w:keepNext w:val="0"/>
        <w:keepLines w:val="0"/>
        <w:widowControl/>
        <w:suppressLineNumbers w:val="0"/>
        <w:rPr>
          <w:rFonts w:ascii="仿宋_GB2312" w:hAnsi="仿宋_GB2312" w:eastAsia="仿宋_GB2312" w:cs="仿宋_GB2312"/>
          <w:color w:val="262626"/>
          <w:sz w:val="32"/>
          <w:szCs w:val="32"/>
        </w:rPr>
      </w:pPr>
      <w:r>
        <w:rPr>
          <w:rFonts w:hint="eastAsia" w:ascii="仿宋_GB2312" w:hAnsi="仿宋_GB2312" w:eastAsia="仿宋_GB2312" w:cs="仿宋_GB2312"/>
          <w:bCs/>
          <w:color w:val="262626"/>
          <w:sz w:val="32"/>
          <w:szCs w:val="32"/>
          <w:lang w:val="en-US" w:eastAsia="zh-CN"/>
        </w:rPr>
        <w:t xml:space="preserve">    按照</w:t>
      </w:r>
      <w:r>
        <w:rPr>
          <w:rFonts w:ascii="仿宋_GB2312" w:eastAsia="仿宋_GB2312" w:cs="仿宋_GB2312"/>
          <w:color w:val="000000"/>
          <w:sz w:val="31"/>
          <w:szCs w:val="31"/>
        </w:rPr>
        <w:t>白河县乡村振兴局</w:t>
      </w:r>
      <w:r>
        <w:rPr>
          <w:rFonts w:hint="eastAsia" w:ascii="仿宋_GB2312" w:eastAsia="仿宋_GB2312" w:cs="仿宋_GB2312"/>
          <w:color w:val="000000"/>
          <w:sz w:val="31"/>
          <w:szCs w:val="31"/>
          <w:lang w:eastAsia="zh-CN"/>
        </w:rPr>
        <w:t>、白河县财政局、白河县发展和改革局</w:t>
      </w:r>
      <w:r>
        <w:rPr>
          <w:rFonts w:hint="eastAsia" w:ascii="仿宋" w:hAnsi="仿宋" w:eastAsia="仿宋" w:cs="仿宋"/>
          <w:b w:val="0"/>
          <w:bCs w:val="0"/>
          <w:sz w:val="32"/>
          <w:szCs w:val="32"/>
          <w:lang w:val="en-US" w:eastAsia="zh-CN"/>
        </w:rPr>
        <w:t>《</w:t>
      </w:r>
      <w:r>
        <w:rPr>
          <w:rFonts w:hint="eastAsia" w:ascii="仿宋" w:hAnsi="仿宋" w:eastAsia="仿宋" w:cs="仿宋"/>
          <w:color w:val="000000"/>
          <w:sz w:val="32"/>
          <w:szCs w:val="32"/>
        </w:rPr>
        <w:t>关于下达 2024年</w:t>
      </w:r>
      <w:r>
        <w:rPr>
          <w:rFonts w:hint="eastAsia" w:ascii="仿宋" w:hAnsi="仿宋" w:eastAsia="仿宋" w:cs="仿宋"/>
          <w:color w:val="000000"/>
          <w:sz w:val="32"/>
          <w:szCs w:val="32"/>
          <w:lang w:eastAsia="zh-CN"/>
        </w:rPr>
        <w:t>第二批省</w:t>
      </w:r>
      <w:r>
        <w:rPr>
          <w:rFonts w:hint="eastAsia" w:ascii="仿宋" w:hAnsi="仿宋" w:eastAsia="仿宋" w:cs="仿宋"/>
          <w:color w:val="000000"/>
          <w:sz w:val="32"/>
          <w:szCs w:val="32"/>
        </w:rPr>
        <w:t>级财政衔接推进乡村振兴补助资金</w:t>
      </w:r>
      <w:r>
        <w:rPr>
          <w:rFonts w:hint="eastAsia" w:ascii="仿宋" w:hAnsi="仿宋" w:eastAsia="仿宋" w:cs="仿宋"/>
          <w:color w:val="000000"/>
          <w:sz w:val="32"/>
          <w:szCs w:val="32"/>
          <w:lang w:eastAsia="zh-CN"/>
        </w:rPr>
        <w:t>项目</w:t>
      </w:r>
      <w:r>
        <w:rPr>
          <w:rFonts w:hint="eastAsia" w:ascii="仿宋" w:hAnsi="仿宋" w:eastAsia="仿宋" w:cs="仿宋"/>
          <w:color w:val="000000"/>
          <w:sz w:val="32"/>
          <w:szCs w:val="32"/>
        </w:rPr>
        <w:t>计划的通知</w:t>
      </w:r>
      <w:r>
        <w:rPr>
          <w:rFonts w:hint="eastAsia" w:ascii="仿宋" w:hAnsi="仿宋" w:eastAsia="仿宋" w:cs="仿宋"/>
          <w:b w:val="0"/>
          <w:bCs w:val="0"/>
          <w:sz w:val="32"/>
          <w:szCs w:val="32"/>
          <w:lang w:val="en-US" w:eastAsia="zh-CN"/>
        </w:rPr>
        <w:t>》（</w:t>
      </w:r>
      <w:r>
        <w:rPr>
          <w:rFonts w:ascii="仿宋_GB2312" w:eastAsia="仿宋_GB2312" w:cs="仿宋_GB2312"/>
          <w:color w:val="000000"/>
          <w:sz w:val="31"/>
          <w:szCs w:val="31"/>
        </w:rPr>
        <w:t>白乡振发</w:t>
      </w:r>
      <w:r>
        <w:rPr>
          <w:rFonts w:hint="eastAsia" w:ascii="仿宋" w:hAnsi="仿宋" w:eastAsia="仿宋" w:cs="仿宋"/>
          <w:b w:val="0"/>
          <w:bCs w:val="0"/>
          <w:sz w:val="32"/>
          <w:szCs w:val="32"/>
          <w:lang w:val="en-US" w:eastAsia="zh-CN"/>
        </w:rPr>
        <w:t>〔2024〕25号）</w:t>
      </w:r>
      <w:r>
        <w:rPr>
          <w:rFonts w:hint="eastAsia" w:ascii="仿宋_GB2312" w:hAnsi="仿宋_GB2312" w:eastAsia="仿宋_GB2312" w:cs="仿宋_GB2312"/>
          <w:bCs/>
          <w:color w:val="auto"/>
          <w:sz w:val="32"/>
          <w:szCs w:val="32"/>
          <w:lang w:val="en-US" w:eastAsia="zh-CN"/>
        </w:rPr>
        <w:t>，</w:t>
      </w:r>
      <w:r>
        <w:rPr>
          <w:rFonts w:hint="eastAsia" w:ascii="仿宋" w:hAnsi="仿宋" w:eastAsia="仿宋" w:cs="仿宋"/>
          <w:color w:val="000000"/>
          <w:kern w:val="0"/>
          <w:sz w:val="32"/>
          <w:szCs w:val="32"/>
          <w:lang w:val="en-US" w:eastAsia="zh-CN" w:bidi="ar"/>
        </w:rPr>
        <w:t>白河县巩固拓展脱贫攻坚成果同乡村振兴有效衔接领导小组办公室《关于同意林业局新增衔接资金项目库入库项目的批复</w:t>
      </w:r>
      <w:r>
        <w:rPr>
          <w:rFonts w:hint="eastAsia" w:ascii="仿宋" w:hAnsi="仿宋" w:eastAsia="仿宋" w:cs="仿宋"/>
          <w:b w:val="0"/>
          <w:bCs w:val="0"/>
          <w:color w:val="000000"/>
          <w:sz w:val="32"/>
          <w:szCs w:val="32"/>
        </w:rPr>
        <w:t>的通知</w:t>
      </w:r>
      <w:r>
        <w:rPr>
          <w:rFonts w:hint="eastAsia" w:ascii="仿宋" w:hAnsi="仿宋" w:eastAsia="仿宋" w:cs="仿宋"/>
          <w:b w:val="0"/>
          <w:bCs w:val="0"/>
          <w:color w:val="000000"/>
          <w:sz w:val="32"/>
          <w:szCs w:val="32"/>
          <w:lang w:eastAsia="zh-CN"/>
        </w:rPr>
        <w:t>》</w:t>
      </w:r>
      <w:r>
        <w:rPr>
          <w:rFonts w:hint="eastAsia" w:ascii="仿宋_GB2312" w:hAnsi="仿宋_GB2312" w:eastAsia="仿宋_GB2312" w:cs="仿宋_GB2312"/>
          <w:bCs/>
          <w:color w:val="auto"/>
          <w:sz w:val="32"/>
          <w:szCs w:val="32"/>
          <w:lang w:val="en-US" w:eastAsia="zh-CN"/>
        </w:rPr>
        <w:t>，白</w:t>
      </w:r>
      <w:r>
        <w:rPr>
          <w:rFonts w:ascii="仿宋_GB2312" w:eastAsia="仿宋_GB2312" w:cs="仿宋_GB2312"/>
          <w:color w:val="000000"/>
          <w:sz w:val="31"/>
          <w:szCs w:val="31"/>
        </w:rPr>
        <w:t>巩固衔接办发〔2024〕24号</w:t>
      </w:r>
      <w:r>
        <w:rPr>
          <w:rFonts w:hint="eastAsia" w:ascii="仿宋_GB2312" w:hAnsi="仿宋_GB2312" w:eastAsia="仿宋_GB2312" w:cs="仿宋_GB2312"/>
          <w:bCs/>
          <w:color w:val="auto"/>
          <w:sz w:val="32"/>
          <w:szCs w:val="32"/>
          <w:lang w:val="en-US" w:eastAsia="zh-CN"/>
        </w:rPr>
        <w:t>等</w:t>
      </w:r>
      <w:r>
        <w:rPr>
          <w:rFonts w:hint="eastAsia" w:ascii="仿宋_GB2312" w:hAnsi="仿宋_GB2312" w:eastAsia="仿宋_GB2312" w:cs="仿宋_GB2312"/>
          <w:bCs/>
          <w:color w:val="auto"/>
          <w:sz w:val="32"/>
          <w:szCs w:val="32"/>
          <w:lang w:eastAsia="zh-CN"/>
        </w:rPr>
        <w:t>相关文件要求，</w:t>
      </w:r>
      <w:r>
        <w:rPr>
          <w:rFonts w:hint="eastAsia" w:ascii="仿宋_GB2312" w:hAnsi="仿宋_GB2312" w:eastAsia="仿宋_GB2312" w:cs="仿宋_GB2312"/>
          <w:color w:val="262626"/>
          <w:sz w:val="32"/>
          <w:szCs w:val="32"/>
        </w:rPr>
        <w:t>参照行业技术规范和规程编制此方案。</w:t>
      </w:r>
    </w:p>
    <w:p>
      <w:pPr>
        <w:keepNext w:val="0"/>
        <w:keepLines w:val="0"/>
        <w:pageBreakBefore w:val="0"/>
        <w:kinsoku/>
        <w:wordWrap/>
        <w:overflowPunct/>
        <w:topLinePunct w:val="0"/>
        <w:autoSpaceDE/>
        <w:autoSpaceDN/>
        <w:bidi w:val="0"/>
        <w:spacing w:line="560" w:lineRule="exact"/>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建设</w:t>
      </w:r>
      <w:r>
        <w:rPr>
          <w:rFonts w:ascii="黑体" w:hAnsi="黑体" w:eastAsia="黑体"/>
          <w:sz w:val="32"/>
          <w:szCs w:val="32"/>
        </w:rPr>
        <w:t>目标</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color w:val="auto"/>
          <w:sz w:val="32"/>
          <w:szCs w:val="32"/>
        </w:rPr>
      </w:pPr>
      <w:r>
        <w:rPr>
          <w:rFonts w:hint="eastAsia" w:ascii="仿宋_GB2312" w:eastAsia="仿宋_GB2312"/>
          <w:sz w:val="32"/>
          <w:szCs w:val="32"/>
        </w:rPr>
        <w:t>以习近平总书记生态建设系列讲话精神为统领，全面贯彻落实党中央、国务院和省、市、县关于</w:t>
      </w:r>
      <w:r>
        <w:rPr>
          <w:rFonts w:hint="eastAsia" w:ascii="仿宋_GB2312" w:eastAsia="仿宋_GB2312"/>
          <w:sz w:val="32"/>
          <w:szCs w:val="32"/>
          <w:lang w:eastAsia="zh-CN"/>
        </w:rPr>
        <w:t>乡村振兴</w:t>
      </w:r>
      <w:r>
        <w:rPr>
          <w:rFonts w:hint="eastAsia" w:ascii="仿宋_GB2312" w:eastAsia="仿宋_GB2312"/>
          <w:sz w:val="32"/>
          <w:szCs w:val="32"/>
        </w:rPr>
        <w:t>工作部署，为进一步巩固提升全县脱贫攻坚成果，</w:t>
      </w:r>
      <w:r>
        <w:rPr>
          <w:rFonts w:hint="eastAsia" w:ascii="仿宋_GB2312" w:hAnsi="仿宋_GB2312" w:eastAsia="仿宋_GB2312" w:cs="仿宋_GB2312"/>
          <w:sz w:val="32"/>
          <w:szCs w:val="32"/>
        </w:rPr>
        <w:t>以兴林富农为目标，</w:t>
      </w:r>
      <w:r>
        <w:rPr>
          <w:rFonts w:hint="eastAsia" w:ascii="仿宋" w:hAnsi="仿宋" w:eastAsia="仿宋" w:cs="仿宋"/>
          <w:sz w:val="32"/>
          <w:szCs w:val="32"/>
        </w:rPr>
        <w:t>以提高林地利用率和林业生产力水平为核心，以促进农民增收、经济增效为宗旨，</w:t>
      </w:r>
      <w:r>
        <w:rPr>
          <w:rFonts w:hint="eastAsia" w:ascii="仿宋" w:hAnsi="仿宋" w:eastAsia="仿宋" w:cs="仿宋"/>
          <w:color w:val="353535"/>
          <w:kern w:val="0"/>
          <w:sz w:val="32"/>
          <w:szCs w:val="32"/>
        </w:rPr>
        <w:t>通过科学规划，合理布局，突出特色，发挥优势，充分发挥林下资源，以涉林企业和林业专业合作社为引领，大力发展我县林下经济建设</w:t>
      </w:r>
      <w:r>
        <w:rPr>
          <w:rFonts w:hint="eastAsia" w:ascii="仿宋" w:hAnsi="仿宋" w:eastAsia="仿宋" w:cs="仿宋"/>
          <w:color w:val="353535"/>
          <w:kern w:val="0"/>
          <w:sz w:val="32"/>
          <w:szCs w:val="32"/>
          <w:lang w:eastAsia="zh-CN"/>
        </w:rPr>
        <w:t>，</w:t>
      </w:r>
      <w:r>
        <w:rPr>
          <w:rFonts w:hint="eastAsia" w:ascii="仿宋_GB2312" w:hAnsi="仿宋_GB2312" w:eastAsia="仿宋_GB2312" w:cs="仿宋_GB2312"/>
          <w:sz w:val="32"/>
          <w:szCs w:val="32"/>
        </w:rPr>
        <w:t>最大限度调动农民发展</w:t>
      </w:r>
      <w:r>
        <w:rPr>
          <w:rFonts w:hint="eastAsia" w:ascii="仿宋_GB2312" w:hAnsi="仿宋_GB2312" w:eastAsia="仿宋_GB2312" w:cs="仿宋_GB2312"/>
          <w:sz w:val="32"/>
          <w:szCs w:val="32"/>
          <w:lang w:eastAsia="zh-CN"/>
        </w:rPr>
        <w:t>林下经济</w:t>
      </w:r>
      <w:r>
        <w:rPr>
          <w:rFonts w:hint="eastAsia" w:ascii="仿宋_GB2312" w:hAnsi="仿宋_GB2312" w:eastAsia="仿宋_GB2312" w:cs="仿宋_GB2312"/>
          <w:sz w:val="32"/>
          <w:szCs w:val="32"/>
        </w:rPr>
        <w:t>的积极性，加快林业生态建设，促进全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经济社会全面、协调、可持续发展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有效助推乡村振兴。</w:t>
      </w:r>
    </w:p>
    <w:p>
      <w:pPr>
        <w:keepNext w:val="0"/>
        <w:keepLines w:val="0"/>
        <w:pageBreakBefore w:val="0"/>
        <w:kinsoku/>
        <w:wordWrap/>
        <w:overflowPunct/>
        <w:topLinePunct w:val="0"/>
        <w:autoSpaceDE/>
        <w:autoSpaceDN/>
        <w:bidi w:val="0"/>
        <w:spacing w:line="560" w:lineRule="exact"/>
        <w:ind w:firstLine="640" w:firstLineChars="200"/>
        <w:jc w:val="left"/>
        <w:rPr>
          <w:rFonts w:ascii="黑体" w:hAnsi="黑体" w:eastAsia="黑体"/>
          <w:sz w:val="32"/>
          <w:szCs w:val="32"/>
        </w:rPr>
      </w:pPr>
      <w:r>
        <w:rPr>
          <w:rFonts w:hint="eastAsia" w:ascii="黑体" w:hAnsi="黑体" w:eastAsia="黑体"/>
          <w:sz w:val="32"/>
          <w:szCs w:val="32"/>
        </w:rPr>
        <w:t>三、建设内容和区域</w:t>
      </w:r>
    </w:p>
    <w:p>
      <w:pPr>
        <w:numPr>
          <w:ilvl w:val="0"/>
          <w:numId w:val="0"/>
        </w:numPr>
        <w:pBdr>
          <w:bottom w:val="single" w:color="FFFFFF" w:sz="4" w:space="31"/>
        </w:pBdr>
        <w:adjustRightInd w:val="0"/>
        <w:snapToGrid w:val="0"/>
        <w:spacing w:line="560" w:lineRule="exact"/>
        <w:ind w:firstLine="640" w:firstLineChars="200"/>
        <w:textAlignment w:val="baseline"/>
        <w:outlineLvl w:val="9"/>
        <w:rPr>
          <w:rFonts w:hint="default" w:ascii="仿宋" w:hAnsi="仿宋" w:eastAsia="仿宋" w:cs="仿宋"/>
          <w:color w:val="auto"/>
          <w:spacing w:val="-11"/>
          <w:w w:val="100"/>
          <w:sz w:val="32"/>
          <w:szCs w:val="32"/>
          <w:lang w:val="en-US" w:eastAsia="zh-CN"/>
        </w:rPr>
      </w:pPr>
      <w:r>
        <w:rPr>
          <w:rFonts w:hint="eastAsia" w:ascii="仿宋" w:hAnsi="仿宋" w:eastAsia="仿宋" w:cs="仿宋"/>
          <w:sz w:val="32"/>
          <w:szCs w:val="32"/>
          <w:lang w:eastAsia="zh-CN"/>
        </w:rPr>
        <w:t>白河县2024年度林下经济补助</w:t>
      </w:r>
      <w:r>
        <w:rPr>
          <w:rFonts w:hint="eastAsia" w:ascii="仿宋" w:hAnsi="仿宋" w:eastAsia="仿宋" w:cs="仿宋"/>
          <w:spacing w:val="-11"/>
          <w:w w:val="100"/>
          <w:sz w:val="32"/>
          <w:szCs w:val="32"/>
          <w:lang w:eastAsia="zh-CN"/>
        </w:rPr>
        <w:t>项目</w:t>
      </w:r>
      <w:r>
        <w:rPr>
          <w:rFonts w:hint="eastAsia" w:ascii="仿宋" w:hAnsi="仿宋" w:eastAsia="仿宋" w:cs="仿宋"/>
          <w:spacing w:val="-11"/>
          <w:w w:val="100"/>
          <w:sz w:val="32"/>
          <w:szCs w:val="32"/>
        </w:rPr>
        <w:t>，专项用于林下发展魔芋</w:t>
      </w:r>
      <w:r>
        <w:rPr>
          <w:rFonts w:hint="eastAsia" w:ascii="仿宋" w:hAnsi="仿宋" w:eastAsia="仿宋" w:cs="仿宋"/>
          <w:spacing w:val="-11"/>
          <w:w w:val="100"/>
          <w:sz w:val="32"/>
          <w:szCs w:val="32"/>
          <w:lang w:eastAsia="zh-CN"/>
        </w:rPr>
        <w:t>、中药材和养蜂</w:t>
      </w:r>
      <w:r>
        <w:rPr>
          <w:rFonts w:hint="eastAsia" w:ascii="仿宋" w:hAnsi="仿宋" w:eastAsia="仿宋" w:cs="仿宋"/>
          <w:spacing w:val="-11"/>
          <w:w w:val="100"/>
          <w:sz w:val="32"/>
          <w:szCs w:val="32"/>
        </w:rPr>
        <w:t>，</w:t>
      </w:r>
      <w:r>
        <w:rPr>
          <w:rFonts w:hint="eastAsia" w:ascii="仿宋" w:hAnsi="仿宋" w:eastAsia="仿宋" w:cs="仿宋"/>
          <w:spacing w:val="-11"/>
          <w:w w:val="100"/>
          <w:sz w:val="32"/>
          <w:szCs w:val="32"/>
          <w:lang w:eastAsia="zh-CN"/>
        </w:rPr>
        <w:t>其中：林下</w:t>
      </w:r>
      <w:r>
        <w:rPr>
          <w:rFonts w:hint="eastAsia" w:ascii="仿宋" w:hAnsi="仿宋" w:eastAsia="仿宋" w:cs="仿宋"/>
          <w:spacing w:val="-11"/>
          <w:w w:val="100"/>
          <w:sz w:val="32"/>
          <w:szCs w:val="32"/>
        </w:rPr>
        <w:t>种植魔芋</w:t>
      </w:r>
      <w:r>
        <w:rPr>
          <w:rFonts w:hint="eastAsia" w:ascii="仿宋" w:hAnsi="仿宋" w:eastAsia="仿宋" w:cs="仿宋"/>
          <w:spacing w:val="-11"/>
          <w:w w:val="100"/>
          <w:sz w:val="32"/>
          <w:szCs w:val="32"/>
          <w:lang w:val="en-US" w:eastAsia="zh-CN"/>
        </w:rPr>
        <w:t>300</w:t>
      </w:r>
      <w:r>
        <w:rPr>
          <w:rFonts w:hint="eastAsia" w:ascii="仿宋" w:hAnsi="仿宋" w:eastAsia="仿宋" w:cs="仿宋"/>
          <w:spacing w:val="-11"/>
          <w:w w:val="100"/>
          <w:sz w:val="32"/>
          <w:szCs w:val="32"/>
        </w:rPr>
        <w:t>亩，林下种植</w:t>
      </w:r>
      <w:r>
        <w:rPr>
          <w:rFonts w:hint="eastAsia" w:ascii="仿宋" w:hAnsi="仿宋" w:eastAsia="仿宋" w:cs="仿宋"/>
          <w:spacing w:val="-11"/>
          <w:w w:val="100"/>
          <w:sz w:val="32"/>
          <w:szCs w:val="32"/>
          <w:lang w:eastAsia="zh-CN"/>
        </w:rPr>
        <w:t>中药材</w:t>
      </w:r>
      <w:r>
        <w:rPr>
          <w:rFonts w:hint="eastAsia" w:ascii="仿宋" w:hAnsi="仿宋" w:eastAsia="仿宋" w:cs="仿宋"/>
          <w:spacing w:val="-11"/>
          <w:w w:val="100"/>
          <w:sz w:val="32"/>
          <w:szCs w:val="32"/>
          <w:lang w:val="en-US" w:eastAsia="zh-CN"/>
        </w:rPr>
        <w:t>65</w:t>
      </w:r>
      <w:r>
        <w:rPr>
          <w:rFonts w:hint="eastAsia" w:ascii="仿宋" w:hAnsi="仿宋" w:eastAsia="仿宋" w:cs="仿宋"/>
          <w:spacing w:val="-11"/>
          <w:w w:val="100"/>
          <w:sz w:val="32"/>
          <w:szCs w:val="32"/>
        </w:rPr>
        <w:t>0亩，林下养蜂</w:t>
      </w:r>
      <w:r>
        <w:rPr>
          <w:rFonts w:hint="eastAsia" w:ascii="仿宋" w:hAnsi="仿宋" w:eastAsia="仿宋" w:cs="仿宋"/>
          <w:spacing w:val="-11"/>
          <w:w w:val="100"/>
          <w:sz w:val="32"/>
          <w:szCs w:val="32"/>
          <w:lang w:val="en-US" w:eastAsia="zh-CN"/>
        </w:rPr>
        <w:t>4</w:t>
      </w:r>
      <w:r>
        <w:rPr>
          <w:rFonts w:hint="eastAsia" w:ascii="仿宋" w:hAnsi="仿宋" w:eastAsia="仿宋" w:cs="仿宋"/>
          <w:spacing w:val="-11"/>
          <w:w w:val="100"/>
          <w:sz w:val="32"/>
          <w:szCs w:val="32"/>
        </w:rPr>
        <w:t>00箱</w:t>
      </w:r>
      <w:r>
        <w:rPr>
          <w:rFonts w:hint="eastAsia" w:ascii="仿宋" w:hAnsi="仿宋" w:eastAsia="仿宋" w:cs="仿宋"/>
          <w:color w:val="auto"/>
          <w:spacing w:val="-11"/>
          <w:w w:val="100"/>
          <w:sz w:val="32"/>
          <w:szCs w:val="32"/>
          <w:lang w:eastAsia="zh-CN"/>
        </w:rPr>
        <w:t>，共涉及构扒镇、卡子镇、茅坪镇、宋家镇、仓上镇、冷水镇</w:t>
      </w:r>
      <w:r>
        <w:rPr>
          <w:rFonts w:hint="eastAsia" w:ascii="仿宋" w:hAnsi="仿宋" w:eastAsia="仿宋" w:cs="仿宋"/>
          <w:color w:val="auto"/>
          <w:spacing w:val="-11"/>
          <w:w w:val="100"/>
          <w:sz w:val="32"/>
          <w:szCs w:val="32"/>
          <w:lang w:val="en-US" w:eastAsia="zh-CN"/>
        </w:rPr>
        <w:t>6个镇8个村8个经营主体</w:t>
      </w:r>
      <w:r>
        <w:rPr>
          <w:rFonts w:hint="eastAsia" w:ascii="仿宋" w:hAnsi="仿宋" w:eastAsia="仿宋" w:cs="仿宋"/>
          <w:color w:val="auto"/>
          <w:spacing w:val="-11"/>
          <w:w w:val="100"/>
          <w:sz w:val="32"/>
          <w:szCs w:val="32"/>
          <w:lang w:eastAsia="zh-CN"/>
        </w:rPr>
        <w:t>。</w:t>
      </w:r>
    </w:p>
    <w:p>
      <w:pPr>
        <w:keepNext w:val="0"/>
        <w:keepLines w:val="0"/>
        <w:pageBreakBefore w:val="0"/>
        <w:numPr>
          <w:ilvl w:val="0"/>
          <w:numId w:val="1"/>
        </w:numPr>
        <w:pBdr>
          <w:bottom w:val="single" w:color="FFFFFF" w:sz="4" w:space="31"/>
        </w:pBdr>
        <w:kinsoku/>
        <w:wordWrap/>
        <w:overflowPunct/>
        <w:topLinePunct w:val="0"/>
        <w:autoSpaceDE/>
        <w:autoSpaceDN/>
        <w:bidi w:val="0"/>
        <w:adjustRightInd w:val="0"/>
        <w:snapToGrid w:val="0"/>
        <w:spacing w:line="560" w:lineRule="exact"/>
        <w:ind w:firstLine="640" w:firstLineChars="200"/>
        <w:jc w:val="left"/>
        <w:textAlignment w:val="baseline"/>
        <w:rPr>
          <w:rFonts w:ascii="黑体" w:hAnsi="黑体" w:eastAsia="黑体"/>
          <w:sz w:val="32"/>
          <w:szCs w:val="32"/>
        </w:rPr>
      </w:pPr>
      <w:r>
        <w:rPr>
          <w:rFonts w:hint="eastAsia" w:ascii="黑体" w:hAnsi="黑体" w:eastAsia="黑体"/>
          <w:sz w:val="32"/>
          <w:szCs w:val="32"/>
        </w:rPr>
        <w:t>资金投入</w:t>
      </w:r>
      <w:r>
        <w:rPr>
          <w:rFonts w:ascii="黑体" w:hAnsi="黑体" w:eastAsia="黑体"/>
          <w:sz w:val="32"/>
          <w:szCs w:val="32"/>
        </w:rPr>
        <w:t>情况</w:t>
      </w:r>
    </w:p>
    <w:p>
      <w:pPr>
        <w:numPr>
          <w:ilvl w:val="0"/>
          <w:numId w:val="0"/>
        </w:numPr>
        <w:pBdr>
          <w:bottom w:val="single" w:color="FFFFFF" w:sz="4" w:space="31"/>
        </w:pBdr>
        <w:adjustRightInd w:val="0"/>
        <w:snapToGrid w:val="0"/>
        <w:spacing w:line="560" w:lineRule="exact"/>
        <w:ind w:leftChars="0" w:firstLine="640" w:firstLineChars="200"/>
        <w:textAlignment w:val="baseline"/>
        <w:outlineLvl w:val="9"/>
        <w:rPr>
          <w:rFonts w:hint="eastAsia" w:ascii="仿宋" w:hAnsi="仿宋" w:eastAsia="仿宋" w:cs="仿宋"/>
          <w:sz w:val="32"/>
          <w:szCs w:val="32"/>
        </w:rPr>
      </w:pPr>
      <w:r>
        <w:rPr>
          <w:rFonts w:hint="eastAsia" w:ascii="仿宋" w:hAnsi="仿宋" w:eastAsia="仿宋" w:cs="仿宋"/>
          <w:sz w:val="32"/>
          <w:szCs w:val="32"/>
        </w:rPr>
        <w:t>白河县2024年度林下经济补助项目共投资50万元，</w:t>
      </w:r>
      <w:r>
        <w:rPr>
          <w:rFonts w:hint="eastAsia" w:ascii="仿宋" w:hAnsi="仿宋" w:eastAsia="仿宋" w:cs="仿宋"/>
          <w:sz w:val="32"/>
          <w:szCs w:val="32"/>
          <w:lang w:val="en-US" w:eastAsia="zh-CN"/>
        </w:rPr>
        <w:t>用于人工费、</w:t>
      </w:r>
      <w:r>
        <w:rPr>
          <w:rFonts w:hint="eastAsia" w:ascii="仿宋" w:hAnsi="仿宋" w:eastAsia="仿宋" w:cs="仿宋"/>
          <w:sz w:val="32"/>
          <w:szCs w:val="32"/>
        </w:rPr>
        <w:t>种苗、种芋、蜂种</w:t>
      </w:r>
      <w:r>
        <w:rPr>
          <w:rFonts w:hint="eastAsia" w:ascii="仿宋" w:hAnsi="仿宋" w:eastAsia="仿宋" w:cs="仿宋"/>
          <w:sz w:val="32"/>
          <w:szCs w:val="32"/>
          <w:lang w:eastAsia="zh-CN"/>
        </w:rPr>
        <w:t>补助</w:t>
      </w:r>
      <w:r>
        <w:rPr>
          <w:rFonts w:hint="eastAsia" w:ascii="仿宋" w:hAnsi="仿宋" w:eastAsia="仿宋" w:cs="仿宋"/>
          <w:sz w:val="32"/>
          <w:szCs w:val="32"/>
        </w:rPr>
        <w:t>。</w:t>
      </w:r>
    </w:p>
    <w:p>
      <w:pPr>
        <w:keepNext w:val="0"/>
        <w:keepLines w:val="0"/>
        <w:pageBreakBefore w:val="0"/>
        <w:numPr>
          <w:ilvl w:val="0"/>
          <w:numId w:val="1"/>
        </w:numPr>
        <w:pBdr>
          <w:bottom w:val="single" w:color="FFFFFF" w:sz="4" w:space="31"/>
        </w:pBdr>
        <w:kinsoku/>
        <w:wordWrap/>
        <w:overflowPunct/>
        <w:topLinePunct w:val="0"/>
        <w:autoSpaceDE/>
        <w:autoSpaceDN/>
        <w:bidi w:val="0"/>
        <w:adjustRightInd w:val="0"/>
        <w:snapToGrid w:val="0"/>
        <w:spacing w:line="560" w:lineRule="exact"/>
        <w:ind w:firstLine="640" w:firstLineChars="200"/>
        <w:jc w:val="left"/>
        <w:textAlignment w:val="baseline"/>
        <w:rPr>
          <w:rFonts w:eastAsia="黑体"/>
        </w:rPr>
      </w:pPr>
      <w:r>
        <w:rPr>
          <w:rFonts w:hint="eastAsia" w:ascii="黑体" w:hAnsi="黑体" w:eastAsia="黑体"/>
          <w:sz w:val="32"/>
          <w:szCs w:val="32"/>
        </w:rPr>
        <w:t>财政资金补助标准</w:t>
      </w:r>
    </w:p>
    <w:p>
      <w:pPr>
        <w:keepNext w:val="0"/>
        <w:keepLines w:val="0"/>
        <w:pageBreakBefore w:val="0"/>
        <w:pBdr>
          <w:bottom w:val="single" w:color="FFFFFF" w:sz="4" w:space="31"/>
        </w:pBdr>
        <w:kinsoku/>
        <w:wordWrap/>
        <w:overflowPunct/>
        <w:topLinePunct w:val="0"/>
        <w:autoSpaceDE/>
        <w:autoSpaceDN/>
        <w:bidi w:val="0"/>
        <w:adjustRightInd w:val="0"/>
        <w:snapToGrid w:val="0"/>
        <w:spacing w:line="560" w:lineRule="exact"/>
        <w:ind w:firstLine="640" w:firstLineChars="200"/>
        <w:jc w:val="left"/>
        <w:textAlignment w:val="baseline"/>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补助标准为：</w:t>
      </w:r>
      <w:r>
        <w:rPr>
          <w:rFonts w:hint="eastAsia" w:ascii="仿宋" w:hAnsi="仿宋" w:eastAsia="仿宋" w:cs="仿宋"/>
          <w:sz w:val="32"/>
          <w:szCs w:val="32"/>
        </w:rPr>
        <w:t>林下种植魔芋</w:t>
      </w:r>
      <w:r>
        <w:rPr>
          <w:rFonts w:hint="eastAsia" w:ascii="仿宋" w:hAnsi="仿宋" w:eastAsia="仿宋" w:cs="仿宋"/>
          <w:sz w:val="32"/>
          <w:szCs w:val="32"/>
          <w:lang w:eastAsia="zh-CN"/>
        </w:rPr>
        <w:t>每亩</w:t>
      </w:r>
      <w:r>
        <w:rPr>
          <w:rFonts w:hint="eastAsia" w:ascii="仿宋" w:hAnsi="仿宋" w:eastAsia="仿宋" w:cs="仿宋"/>
          <w:sz w:val="32"/>
          <w:szCs w:val="32"/>
        </w:rPr>
        <w:t>补助</w:t>
      </w:r>
      <w:r>
        <w:rPr>
          <w:rFonts w:hint="eastAsia" w:ascii="仿宋" w:hAnsi="仿宋" w:eastAsia="仿宋" w:cs="仿宋"/>
          <w:sz w:val="32"/>
          <w:szCs w:val="32"/>
          <w:lang w:val="en-US" w:eastAsia="zh-CN"/>
        </w:rPr>
        <w:t>400</w:t>
      </w:r>
      <w:r>
        <w:rPr>
          <w:rFonts w:hint="eastAsia" w:ascii="仿宋" w:hAnsi="仿宋" w:eastAsia="仿宋" w:cs="仿宋"/>
          <w:sz w:val="32"/>
          <w:szCs w:val="32"/>
        </w:rPr>
        <w:t>元、林下种植</w:t>
      </w:r>
      <w:r>
        <w:rPr>
          <w:rFonts w:hint="eastAsia" w:ascii="仿宋" w:hAnsi="仿宋" w:eastAsia="仿宋" w:cs="仿宋"/>
          <w:sz w:val="32"/>
          <w:szCs w:val="32"/>
          <w:lang w:eastAsia="zh-CN"/>
        </w:rPr>
        <w:t>中药材</w:t>
      </w:r>
      <w:r>
        <w:rPr>
          <w:rFonts w:hint="eastAsia" w:ascii="仿宋" w:hAnsi="仿宋" w:eastAsia="仿宋" w:cs="仿宋"/>
          <w:sz w:val="32"/>
          <w:szCs w:val="32"/>
          <w:lang w:val="en-US" w:eastAsia="zh-CN"/>
        </w:rPr>
        <w:t>每亩补助400元</w:t>
      </w:r>
      <w:r>
        <w:rPr>
          <w:rFonts w:hint="eastAsia" w:ascii="仿宋" w:hAnsi="仿宋" w:eastAsia="仿宋" w:cs="仿宋"/>
          <w:sz w:val="32"/>
          <w:szCs w:val="32"/>
        </w:rPr>
        <w:t>，</w:t>
      </w:r>
      <w:r>
        <w:rPr>
          <w:rFonts w:hint="eastAsia" w:ascii="仿宋" w:hAnsi="仿宋" w:eastAsia="仿宋" w:cs="仿宋"/>
          <w:sz w:val="32"/>
          <w:szCs w:val="32"/>
          <w:lang w:val="en-US" w:eastAsia="zh-CN"/>
        </w:rPr>
        <w:t>林下养蜂每箱补助300元</w:t>
      </w:r>
      <w:r>
        <w:rPr>
          <w:rFonts w:hint="eastAsia" w:ascii="仿宋" w:hAnsi="仿宋" w:eastAsia="仿宋" w:cs="仿宋"/>
          <w:sz w:val="32"/>
          <w:szCs w:val="32"/>
          <w:lang w:eastAsia="zh-CN"/>
        </w:rPr>
        <w:t>。</w:t>
      </w:r>
    </w:p>
    <w:p>
      <w:pPr>
        <w:keepNext w:val="0"/>
        <w:keepLines w:val="0"/>
        <w:pageBreakBefore w:val="0"/>
        <w:numPr>
          <w:ilvl w:val="0"/>
          <w:numId w:val="1"/>
        </w:numPr>
        <w:pBdr>
          <w:bottom w:val="single" w:color="FFFFFF" w:sz="4" w:space="31"/>
        </w:pBdr>
        <w:kinsoku/>
        <w:wordWrap/>
        <w:overflowPunct/>
        <w:topLinePunct w:val="0"/>
        <w:autoSpaceDE/>
        <w:autoSpaceDN/>
        <w:bidi w:val="0"/>
        <w:adjustRightInd w:val="0"/>
        <w:snapToGrid w:val="0"/>
        <w:spacing w:line="560" w:lineRule="exact"/>
        <w:ind w:firstLine="640" w:firstLineChars="200"/>
        <w:jc w:val="left"/>
        <w:textAlignment w:val="baseline"/>
        <w:rPr>
          <w:rFonts w:hint="eastAsia" w:ascii="黑体" w:hAnsi="黑体" w:eastAsia="黑体"/>
          <w:sz w:val="32"/>
          <w:szCs w:val="32"/>
        </w:rPr>
      </w:pPr>
      <w:r>
        <w:rPr>
          <w:rFonts w:ascii="黑体" w:hAnsi="黑体" w:eastAsia="黑体"/>
          <w:sz w:val="32"/>
          <w:szCs w:val="32"/>
        </w:rPr>
        <w:t>实施</w:t>
      </w:r>
      <w:r>
        <w:rPr>
          <w:rFonts w:hint="eastAsia" w:ascii="黑体" w:hAnsi="黑体" w:eastAsia="黑体"/>
          <w:sz w:val="32"/>
          <w:szCs w:val="32"/>
        </w:rPr>
        <w:t>步骤</w:t>
      </w:r>
    </w:p>
    <w:p>
      <w:pPr>
        <w:keepNext w:val="0"/>
        <w:keepLines w:val="0"/>
        <w:pageBreakBefore w:val="0"/>
        <w:numPr>
          <w:ilvl w:val="0"/>
          <w:numId w:val="2"/>
        </w:numPr>
        <w:pBdr>
          <w:bottom w:val="single" w:color="FFFFFF" w:sz="4" w:space="31"/>
        </w:pBdr>
        <w:kinsoku/>
        <w:wordWrap/>
        <w:overflowPunct/>
        <w:topLinePunct w:val="0"/>
        <w:autoSpaceDE/>
        <w:autoSpaceDN/>
        <w:bidi w:val="0"/>
        <w:adjustRightInd w:val="0"/>
        <w:snapToGrid w:val="0"/>
        <w:spacing w:line="560" w:lineRule="exact"/>
        <w:ind w:firstLine="640" w:firstLineChars="200"/>
        <w:jc w:val="left"/>
        <w:textAlignment w:val="baseline"/>
        <w:rPr>
          <w:rFonts w:hint="eastAsia" w:ascii="黑体" w:hAnsi="黑体" w:eastAsia="黑体"/>
          <w:sz w:val="32"/>
          <w:szCs w:val="32"/>
          <w:lang w:val="en-US" w:eastAsia="zh-CN"/>
        </w:rPr>
      </w:pPr>
      <w:r>
        <w:rPr>
          <w:rFonts w:hint="eastAsia" w:ascii="黑体" w:hAnsi="黑体" w:eastAsia="黑体"/>
          <w:sz w:val="32"/>
          <w:szCs w:val="32"/>
          <w:lang w:eastAsia="zh-CN"/>
        </w:rPr>
        <w:t>计划下达（</w:t>
      </w:r>
      <w:r>
        <w:rPr>
          <w:rFonts w:hint="eastAsia" w:ascii="黑体" w:hAnsi="黑体" w:eastAsia="黑体"/>
          <w:sz w:val="32"/>
          <w:szCs w:val="32"/>
          <w:lang w:val="en-US" w:eastAsia="zh-CN"/>
        </w:rPr>
        <w:t>6-7月</w:t>
      </w:r>
      <w:r>
        <w:rPr>
          <w:rFonts w:hint="eastAsia" w:ascii="黑体" w:hAnsi="黑体" w:eastAsia="黑体"/>
          <w:sz w:val="32"/>
          <w:szCs w:val="32"/>
          <w:lang w:eastAsia="zh-CN"/>
        </w:rPr>
        <w:t>）</w:t>
      </w:r>
    </w:p>
    <w:p>
      <w:pPr>
        <w:keepNext w:val="0"/>
        <w:keepLines w:val="0"/>
        <w:pageBreakBefore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eastAsia="仿宋_GB2312"/>
          <w:sz w:val="32"/>
          <w:szCs w:val="32"/>
        </w:rPr>
      </w:pPr>
      <w:r>
        <w:rPr>
          <w:rFonts w:hint="eastAsia" w:ascii="仿宋_GB2312" w:hAnsi="仿宋_GB2312" w:eastAsia="仿宋_GB2312" w:cs="仿宋_GB2312"/>
          <w:bCs/>
          <w:color w:val="auto"/>
          <w:sz w:val="32"/>
          <w:szCs w:val="32"/>
          <w:lang w:val="en-US" w:eastAsia="zh-CN"/>
        </w:rPr>
        <w:t>根据</w:t>
      </w:r>
      <w:r>
        <w:rPr>
          <w:rFonts w:ascii="仿宋_GB2312" w:eastAsia="仿宋_GB2312" w:cs="仿宋_GB2312"/>
          <w:color w:val="000000"/>
          <w:sz w:val="31"/>
          <w:szCs w:val="31"/>
        </w:rPr>
        <w:t>白乡振发</w:t>
      </w:r>
      <w:r>
        <w:rPr>
          <w:rFonts w:hint="eastAsia" w:ascii="仿宋" w:hAnsi="仿宋" w:eastAsia="仿宋" w:cs="仿宋"/>
          <w:color w:val="000000"/>
          <w:sz w:val="32"/>
          <w:szCs w:val="32"/>
        </w:rPr>
        <w:t>下达 2024年市级财政衔接推进乡村振兴补助林业资金计划的通知</w:t>
      </w:r>
      <w:r>
        <w:rPr>
          <w:rFonts w:hint="eastAsia" w:ascii="仿宋_GB2312" w:eastAsia="仿宋_GB2312"/>
          <w:sz w:val="32"/>
          <w:szCs w:val="32"/>
        </w:rPr>
        <w:t>，编制《</w:t>
      </w:r>
      <w:r>
        <w:rPr>
          <w:rFonts w:hint="eastAsia" w:ascii="仿宋" w:hAnsi="仿宋" w:eastAsia="仿宋" w:cs="仿宋"/>
          <w:sz w:val="32"/>
          <w:szCs w:val="32"/>
        </w:rPr>
        <w:t>白河县2024年度林下经济补助项目</w:t>
      </w:r>
      <w:r>
        <w:rPr>
          <w:rFonts w:hint="eastAsia" w:ascii="仿宋_GB2312" w:hAnsi="仿宋_GB2312" w:eastAsia="仿宋_GB2312" w:cs="仿宋_GB2312"/>
          <w:bCs/>
          <w:color w:val="auto"/>
          <w:sz w:val="32"/>
          <w:szCs w:val="32"/>
          <w:lang w:val="en-US" w:eastAsia="zh-CN"/>
        </w:rPr>
        <w:t>实施方案</w:t>
      </w:r>
      <w:r>
        <w:rPr>
          <w:rFonts w:hint="eastAsia" w:ascii="仿宋_GB2312" w:hAnsi="黑体" w:eastAsia="仿宋_GB2312"/>
          <w:sz w:val="32"/>
          <w:szCs w:val="32"/>
        </w:rPr>
        <w:t>》，并及时</w:t>
      </w:r>
      <w:r>
        <w:rPr>
          <w:rFonts w:hint="eastAsia" w:ascii="仿宋_GB2312" w:eastAsia="仿宋_GB2312"/>
          <w:sz w:val="32"/>
          <w:szCs w:val="32"/>
        </w:rPr>
        <w:t>下达到各镇,并做好项目公告和公示。</w:t>
      </w:r>
    </w:p>
    <w:p>
      <w:pPr>
        <w:keepNext w:val="0"/>
        <w:keepLines w:val="0"/>
        <w:pageBreakBefore w:val="0"/>
        <w:numPr>
          <w:ilvl w:val="0"/>
          <w:numId w:val="2"/>
        </w:numPr>
        <w:pBdr>
          <w:bottom w:val="single" w:color="FFFFFF" w:sz="4" w:space="31"/>
        </w:pBdr>
        <w:kinsoku/>
        <w:wordWrap/>
        <w:overflowPunct/>
        <w:topLinePunct w:val="0"/>
        <w:autoSpaceDE/>
        <w:autoSpaceDN/>
        <w:bidi w:val="0"/>
        <w:adjustRightInd w:val="0"/>
        <w:snapToGrid w:val="0"/>
        <w:spacing w:line="560" w:lineRule="exact"/>
        <w:ind w:firstLine="640" w:firstLineChars="200"/>
        <w:jc w:val="left"/>
        <w:textAlignment w:val="baseline"/>
        <w:rPr>
          <w:rFonts w:hint="eastAsia" w:ascii="黑体" w:hAnsi="黑体" w:eastAsia="黑体"/>
          <w:sz w:val="32"/>
          <w:szCs w:val="32"/>
          <w:lang w:eastAsia="zh-CN"/>
        </w:rPr>
      </w:pPr>
      <w:r>
        <w:rPr>
          <w:rFonts w:hint="eastAsia" w:ascii="黑体" w:hAnsi="黑体" w:eastAsia="黑体"/>
          <w:sz w:val="32"/>
          <w:szCs w:val="32"/>
          <w:lang w:eastAsia="zh-CN"/>
        </w:rPr>
        <w:t>项目实施</w:t>
      </w:r>
      <w:r>
        <w:rPr>
          <w:rFonts w:hint="eastAsia" w:ascii="黑体" w:hAnsi="黑体" w:eastAsia="黑体"/>
          <w:sz w:val="32"/>
          <w:szCs w:val="32"/>
          <w:lang w:val="en-US" w:eastAsia="zh-CN"/>
        </w:rPr>
        <w:t>（7-11月）</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eastAsia="仿宋_GB2312"/>
          <w:sz w:val="32"/>
          <w:szCs w:val="32"/>
        </w:rPr>
      </w:pPr>
      <w:r>
        <w:rPr>
          <w:rFonts w:hint="eastAsia" w:ascii="仿宋_GB2312" w:eastAsia="仿宋_GB2312"/>
          <w:sz w:val="32"/>
          <w:szCs w:val="32"/>
          <w:lang w:eastAsia="zh-CN"/>
        </w:rPr>
        <w:t>按照《白河县核桃、特色经济林及林下经济发展补助项目资金奖补办法》、本项目为先建后补项目，</w:t>
      </w:r>
      <w:r>
        <w:rPr>
          <w:rFonts w:hint="eastAsia" w:ascii="仿宋_GB2312" w:eastAsia="仿宋_GB2312"/>
          <w:sz w:val="32"/>
          <w:szCs w:val="32"/>
        </w:rPr>
        <w:t>各镇</w:t>
      </w:r>
      <w:r>
        <w:rPr>
          <w:rFonts w:hint="eastAsia" w:ascii="仿宋_GB2312" w:eastAsia="仿宋_GB2312"/>
          <w:sz w:val="32"/>
          <w:szCs w:val="32"/>
          <w:lang w:eastAsia="zh-CN"/>
        </w:rPr>
        <w:t>要</w:t>
      </w:r>
      <w:r>
        <w:rPr>
          <w:rFonts w:hint="eastAsia" w:ascii="仿宋_GB2312" w:eastAsia="仿宋_GB2312"/>
          <w:sz w:val="32"/>
          <w:szCs w:val="32"/>
        </w:rPr>
        <w:t>根据项目实施方案，通知建设单位与县林业局签订项目建设合同，及时组织建设单位进行项目施工，加强项目实施管理，加快项目建设进度</w:t>
      </w:r>
      <w:r>
        <w:rPr>
          <w:rFonts w:hint="eastAsia" w:ascii="仿宋_GB2312" w:eastAsia="仿宋_GB2312"/>
          <w:sz w:val="32"/>
          <w:szCs w:val="32"/>
          <w:lang w:eastAsia="zh-CN"/>
        </w:rPr>
        <w:t>，</w:t>
      </w:r>
      <w:r>
        <w:rPr>
          <w:rFonts w:hint="eastAsia" w:ascii="仿宋_GB2312" w:eastAsia="仿宋_GB2312"/>
          <w:sz w:val="32"/>
          <w:szCs w:val="32"/>
          <w:lang w:val="en-US" w:eastAsia="zh-CN"/>
        </w:rPr>
        <w:t>12月前完成项目建设全部内容</w:t>
      </w:r>
      <w:r>
        <w:rPr>
          <w:rFonts w:hint="eastAsia" w:ascii="仿宋_GB2312" w:eastAsia="仿宋_GB2312"/>
          <w:sz w:val="32"/>
          <w:szCs w:val="32"/>
        </w:rPr>
        <w:t>。对于此次下达资金扶持的项目单位和法人，必须带动</w:t>
      </w:r>
      <w:r>
        <w:rPr>
          <w:rFonts w:hint="eastAsia" w:ascii="仿宋_GB2312" w:eastAsia="仿宋_GB2312"/>
          <w:sz w:val="32"/>
          <w:szCs w:val="32"/>
          <w:lang w:eastAsia="zh-CN"/>
        </w:rPr>
        <w:t>帮扶低收入人口增收</w:t>
      </w:r>
      <w:r>
        <w:rPr>
          <w:rFonts w:hint="eastAsia" w:ascii="仿宋_GB2312" w:eastAsia="仿宋_GB2312"/>
          <w:sz w:val="32"/>
          <w:szCs w:val="32"/>
        </w:rPr>
        <w:t>，带动户数以下达项目计划表分配数为标准；项目实施单位和法人要同帮扶户签订带动</w:t>
      </w:r>
      <w:r>
        <w:rPr>
          <w:rFonts w:hint="eastAsia" w:ascii="仿宋_GB2312" w:eastAsia="仿宋_GB2312"/>
          <w:sz w:val="32"/>
          <w:szCs w:val="32"/>
          <w:lang w:eastAsia="zh-CN"/>
        </w:rPr>
        <w:t>增收</w:t>
      </w:r>
      <w:r>
        <w:rPr>
          <w:rFonts w:hint="eastAsia" w:ascii="仿宋_GB2312" w:eastAsia="仿宋_GB2312"/>
          <w:sz w:val="32"/>
          <w:szCs w:val="32"/>
        </w:rPr>
        <w:t>相关合同或协议，同时建立好带动</w:t>
      </w:r>
      <w:r>
        <w:rPr>
          <w:rFonts w:hint="eastAsia" w:ascii="仿宋_GB2312" w:eastAsia="仿宋_GB2312"/>
          <w:sz w:val="32"/>
          <w:szCs w:val="32"/>
          <w:lang w:eastAsia="zh-CN"/>
        </w:rPr>
        <w:t>增收</w:t>
      </w:r>
      <w:r>
        <w:rPr>
          <w:rFonts w:hint="eastAsia" w:ascii="仿宋_GB2312" w:eastAsia="仿宋_GB2312"/>
          <w:sz w:val="32"/>
          <w:szCs w:val="32"/>
        </w:rPr>
        <w:t>人口台账和花名册。</w:t>
      </w:r>
    </w:p>
    <w:p>
      <w:pPr>
        <w:keepNext w:val="0"/>
        <w:keepLines w:val="0"/>
        <w:pageBreakBefore w:val="0"/>
        <w:widowControl w:val="0"/>
        <w:numPr>
          <w:ilvl w:val="0"/>
          <w:numId w:val="3"/>
        </w:numPr>
        <w:pBdr>
          <w:bottom w:val="single" w:color="FFFFFF" w:sz="4" w:space="31"/>
        </w:pBdr>
        <w:kinsoku/>
        <w:wordWrap/>
        <w:overflowPunct/>
        <w:topLinePunct w:val="0"/>
        <w:autoSpaceDE/>
        <w:autoSpaceDN/>
        <w:bidi w:val="0"/>
        <w:adjustRightInd w:val="0"/>
        <w:snapToGrid w:val="0"/>
        <w:spacing w:line="560" w:lineRule="exact"/>
        <w:ind w:firstLine="643" w:firstLineChars="200"/>
        <w:jc w:val="left"/>
        <w:textAlignment w:val="baseline"/>
        <w:rPr>
          <w:rFonts w:hint="eastAsia" w:ascii="仿宋_GB2312" w:hAnsi="黑体" w:eastAsia="仿宋_GB2312"/>
          <w:sz w:val="32"/>
          <w:szCs w:val="32"/>
        </w:rPr>
      </w:pPr>
      <w:r>
        <w:rPr>
          <w:rFonts w:hint="eastAsia" w:ascii="仿宋_GB2312" w:hAnsi="黑体" w:eastAsia="仿宋_GB2312"/>
          <w:b/>
          <w:sz w:val="32"/>
          <w:szCs w:val="32"/>
        </w:rPr>
        <w:t>县林业局：</w:t>
      </w:r>
      <w:r>
        <w:rPr>
          <w:rFonts w:hint="eastAsia" w:ascii="仿宋_GB2312" w:hAnsi="黑体" w:eastAsia="仿宋_GB2312"/>
          <w:sz w:val="32"/>
          <w:szCs w:val="32"/>
        </w:rPr>
        <w:t>对</w:t>
      </w:r>
      <w:r>
        <w:rPr>
          <w:rFonts w:hint="eastAsia" w:ascii="仿宋_GB2312" w:hAnsi="仿宋_GB2312" w:eastAsia="仿宋_GB2312" w:cs="仿宋_GB2312"/>
          <w:bCs/>
          <w:color w:val="auto"/>
          <w:sz w:val="32"/>
          <w:szCs w:val="32"/>
          <w:lang w:val="en-US" w:eastAsia="zh-CN"/>
        </w:rPr>
        <w:t>2024年</w:t>
      </w:r>
      <w:r>
        <w:rPr>
          <w:rFonts w:hint="eastAsia" w:ascii="仿宋" w:hAnsi="仿宋" w:eastAsia="仿宋" w:cs="仿宋"/>
          <w:sz w:val="32"/>
          <w:szCs w:val="32"/>
        </w:rPr>
        <w:t>林下经济补助项</w:t>
      </w:r>
      <w:r>
        <w:rPr>
          <w:rFonts w:hint="eastAsia" w:ascii="仿宋_GB2312" w:hAnsi="仿宋_GB2312" w:eastAsia="仿宋_GB2312" w:cs="仿宋_GB2312"/>
          <w:bCs/>
          <w:color w:val="auto"/>
          <w:sz w:val="32"/>
          <w:szCs w:val="32"/>
          <w:lang w:val="en-US" w:eastAsia="zh-CN"/>
        </w:rPr>
        <w:t>目</w:t>
      </w:r>
      <w:r>
        <w:rPr>
          <w:rFonts w:hint="eastAsia" w:ascii="仿宋_GB2312" w:hAnsi="黑体" w:eastAsia="仿宋_GB2312"/>
          <w:sz w:val="32"/>
          <w:szCs w:val="32"/>
        </w:rPr>
        <w:t>负总责，具体组织好实施方案的编制，协议的签订，协调做好技术指导、项目验收和管理工作；</w:t>
      </w:r>
    </w:p>
    <w:p>
      <w:pPr>
        <w:keepNext w:val="0"/>
        <w:keepLines w:val="0"/>
        <w:pageBreakBefore w:val="0"/>
        <w:widowControl w:val="0"/>
        <w:numPr>
          <w:ilvl w:val="0"/>
          <w:numId w:val="3"/>
        </w:numPr>
        <w:pBdr>
          <w:bottom w:val="single" w:color="FFFFFF" w:sz="4" w:space="31"/>
        </w:pBdr>
        <w:kinsoku/>
        <w:wordWrap/>
        <w:overflowPunct/>
        <w:topLinePunct w:val="0"/>
        <w:autoSpaceDE/>
        <w:autoSpaceDN/>
        <w:bidi w:val="0"/>
        <w:adjustRightInd w:val="0"/>
        <w:snapToGrid w:val="0"/>
        <w:spacing w:line="560" w:lineRule="exact"/>
        <w:ind w:left="0" w:leftChars="0" w:firstLine="643" w:firstLineChars="200"/>
        <w:jc w:val="left"/>
        <w:textAlignment w:val="baseline"/>
        <w:rPr>
          <w:rFonts w:hint="eastAsia" w:ascii="仿宋_GB2312" w:hAnsi="黑体" w:eastAsia="仿宋_GB2312"/>
          <w:sz w:val="32"/>
          <w:szCs w:val="32"/>
        </w:rPr>
      </w:pPr>
      <w:r>
        <w:rPr>
          <w:rFonts w:hint="eastAsia" w:ascii="仿宋_GB2312" w:hAnsi="黑体" w:eastAsia="仿宋_GB2312"/>
          <w:b/>
          <w:sz w:val="32"/>
          <w:szCs w:val="32"/>
        </w:rPr>
        <w:t>各镇人民政府：</w:t>
      </w:r>
      <w:r>
        <w:rPr>
          <w:rFonts w:hint="eastAsia" w:ascii="仿宋_GB2312" w:hAnsi="黑体" w:eastAsia="仿宋_GB2312"/>
          <w:sz w:val="32"/>
          <w:szCs w:val="32"/>
        </w:rPr>
        <w:t>负责做</w:t>
      </w:r>
      <w:r>
        <w:rPr>
          <w:rFonts w:hint="eastAsia" w:ascii="仿宋_GB2312" w:hAnsi="黑体" w:eastAsia="仿宋_GB2312"/>
          <w:sz w:val="32"/>
          <w:szCs w:val="32"/>
          <w:lang w:eastAsia="zh-CN"/>
        </w:rPr>
        <w:t>好</w:t>
      </w:r>
      <w:r>
        <w:rPr>
          <w:rFonts w:hint="eastAsia" w:ascii="仿宋_GB2312" w:hAnsi="黑体" w:eastAsia="仿宋_GB2312"/>
          <w:sz w:val="32"/>
          <w:szCs w:val="32"/>
        </w:rPr>
        <w:t>项目建设任务的落实，公开公示，</w:t>
      </w:r>
      <w:r>
        <w:rPr>
          <w:rFonts w:hint="eastAsia" w:ascii="仿宋_GB2312" w:eastAsia="仿宋_GB2312"/>
          <w:sz w:val="32"/>
          <w:szCs w:val="32"/>
        </w:rPr>
        <w:t>项目实施单位同</w:t>
      </w:r>
      <w:r>
        <w:rPr>
          <w:rFonts w:hint="eastAsia" w:ascii="仿宋_GB2312" w:eastAsia="仿宋_GB2312"/>
          <w:sz w:val="32"/>
          <w:szCs w:val="32"/>
          <w:lang w:eastAsia="zh-CN"/>
        </w:rPr>
        <w:t>帮扶户</w:t>
      </w:r>
      <w:r>
        <w:rPr>
          <w:rFonts w:hint="eastAsia" w:ascii="仿宋_GB2312" w:eastAsia="仿宋_GB2312"/>
          <w:sz w:val="32"/>
          <w:szCs w:val="32"/>
        </w:rPr>
        <w:t>签订带动</w:t>
      </w:r>
      <w:r>
        <w:rPr>
          <w:rFonts w:hint="eastAsia" w:ascii="仿宋_GB2312" w:eastAsia="仿宋_GB2312"/>
          <w:sz w:val="32"/>
          <w:szCs w:val="32"/>
          <w:lang w:eastAsia="zh-CN"/>
        </w:rPr>
        <w:t>增收</w:t>
      </w:r>
      <w:r>
        <w:rPr>
          <w:rFonts w:hint="eastAsia" w:ascii="仿宋_GB2312" w:eastAsia="仿宋_GB2312"/>
          <w:sz w:val="32"/>
          <w:szCs w:val="32"/>
        </w:rPr>
        <w:t>相关合同或协议，</w:t>
      </w:r>
      <w:r>
        <w:rPr>
          <w:rFonts w:hint="eastAsia" w:ascii="仿宋_GB2312" w:hAnsi="黑体" w:eastAsia="仿宋_GB2312"/>
          <w:sz w:val="32"/>
          <w:szCs w:val="32"/>
        </w:rPr>
        <w:t>落实好项目建设单位抓好项目的组织实施和后期管理；</w:t>
      </w:r>
    </w:p>
    <w:p>
      <w:pPr>
        <w:keepNext w:val="0"/>
        <w:keepLines w:val="0"/>
        <w:pageBreakBefore w:val="0"/>
        <w:widowControl w:val="0"/>
        <w:numPr>
          <w:ilvl w:val="0"/>
          <w:numId w:val="3"/>
        </w:numPr>
        <w:pBdr>
          <w:bottom w:val="single" w:color="FFFFFF" w:sz="4" w:space="31"/>
        </w:pBdr>
        <w:kinsoku/>
        <w:wordWrap/>
        <w:overflowPunct/>
        <w:topLinePunct w:val="0"/>
        <w:autoSpaceDE/>
        <w:autoSpaceDN/>
        <w:bidi w:val="0"/>
        <w:adjustRightInd w:val="0"/>
        <w:snapToGrid w:val="0"/>
        <w:spacing w:line="560" w:lineRule="exact"/>
        <w:ind w:left="0" w:leftChars="0" w:firstLine="643" w:firstLineChars="200"/>
        <w:jc w:val="left"/>
        <w:textAlignment w:val="baseline"/>
        <w:rPr>
          <w:rFonts w:hint="eastAsia" w:ascii="仿宋_GB2312" w:hAnsi="仿宋" w:eastAsia="仿宋_GB2312"/>
          <w:sz w:val="32"/>
          <w:szCs w:val="32"/>
        </w:rPr>
      </w:pPr>
      <w:r>
        <w:rPr>
          <w:rFonts w:hint="eastAsia" w:ascii="仿宋_GB2312" w:hAnsi="仿宋" w:eastAsia="仿宋_GB2312"/>
          <w:b/>
          <w:sz w:val="32"/>
          <w:szCs w:val="32"/>
        </w:rPr>
        <w:t>各建设单位</w:t>
      </w:r>
      <w:r>
        <w:rPr>
          <w:rFonts w:hint="eastAsia" w:ascii="仿宋_GB2312" w:hAnsi="仿宋" w:eastAsia="仿宋_GB2312"/>
          <w:sz w:val="32"/>
          <w:szCs w:val="32"/>
        </w:rPr>
        <w:t>：要按照项目建设程序，加快项目实施进度，组织好项目实施，确保</w:t>
      </w:r>
      <w:r>
        <w:rPr>
          <w:rFonts w:hint="eastAsia" w:ascii="仿宋_GB2312" w:hAnsi="仿宋_GB2312" w:eastAsia="仿宋_GB2312" w:cs="仿宋_GB2312"/>
          <w:bCs/>
          <w:color w:val="auto"/>
          <w:sz w:val="32"/>
          <w:szCs w:val="32"/>
          <w:lang w:val="en-US" w:eastAsia="zh-CN"/>
        </w:rPr>
        <w:t>2024年</w:t>
      </w:r>
      <w:r>
        <w:rPr>
          <w:rFonts w:hint="eastAsia" w:ascii="仿宋" w:hAnsi="仿宋" w:eastAsia="仿宋" w:cs="仿宋"/>
          <w:sz w:val="32"/>
          <w:szCs w:val="32"/>
        </w:rPr>
        <w:t>林下经济补助项</w:t>
      </w:r>
      <w:r>
        <w:rPr>
          <w:rFonts w:hint="eastAsia" w:ascii="仿宋_GB2312" w:hAnsi="仿宋_GB2312" w:eastAsia="仿宋_GB2312" w:cs="仿宋_GB2312"/>
          <w:bCs/>
          <w:color w:val="auto"/>
          <w:sz w:val="32"/>
          <w:szCs w:val="32"/>
          <w:lang w:val="en-US" w:eastAsia="zh-CN"/>
        </w:rPr>
        <w:t>目</w:t>
      </w:r>
      <w:r>
        <w:rPr>
          <w:rFonts w:hint="eastAsia" w:ascii="仿宋_GB2312" w:hAnsi="仿宋" w:eastAsia="仿宋_GB2312"/>
          <w:sz w:val="32"/>
          <w:szCs w:val="32"/>
        </w:rPr>
        <w:t>建设任务按时完成。</w:t>
      </w:r>
      <w:r>
        <w:rPr>
          <w:rFonts w:hint="eastAsia" w:ascii="仿宋_GB2312" w:eastAsia="仿宋_GB2312"/>
          <w:sz w:val="32"/>
          <w:szCs w:val="32"/>
        </w:rPr>
        <w:t>同</w:t>
      </w:r>
      <w:r>
        <w:rPr>
          <w:rFonts w:hint="eastAsia" w:ascii="仿宋_GB2312" w:eastAsia="仿宋_GB2312"/>
          <w:sz w:val="32"/>
          <w:szCs w:val="32"/>
          <w:lang w:eastAsia="zh-CN"/>
        </w:rPr>
        <w:t>时</w:t>
      </w:r>
      <w:r>
        <w:rPr>
          <w:rFonts w:hint="eastAsia" w:ascii="仿宋_GB2312" w:eastAsia="仿宋_GB2312"/>
          <w:sz w:val="32"/>
          <w:szCs w:val="32"/>
        </w:rPr>
        <w:t>要与</w:t>
      </w:r>
      <w:r>
        <w:rPr>
          <w:rFonts w:hint="eastAsia" w:ascii="仿宋_GB2312" w:eastAsia="仿宋_GB2312"/>
          <w:sz w:val="32"/>
          <w:szCs w:val="32"/>
          <w:lang w:eastAsia="zh-CN"/>
        </w:rPr>
        <w:t>帮扶</w:t>
      </w:r>
      <w:r>
        <w:rPr>
          <w:rFonts w:hint="eastAsia" w:ascii="仿宋_GB2312" w:eastAsia="仿宋_GB2312"/>
          <w:sz w:val="32"/>
          <w:szCs w:val="32"/>
        </w:rPr>
        <w:t>户签订</w:t>
      </w:r>
      <w:r>
        <w:rPr>
          <w:rFonts w:hint="eastAsia" w:ascii="仿宋_GB2312" w:eastAsia="仿宋_GB2312"/>
          <w:sz w:val="32"/>
          <w:szCs w:val="32"/>
          <w:lang w:eastAsia="zh-CN"/>
        </w:rPr>
        <w:t>增收</w:t>
      </w:r>
      <w:r>
        <w:rPr>
          <w:rFonts w:hint="eastAsia" w:ascii="仿宋_GB2312" w:eastAsia="仿宋_GB2312"/>
          <w:sz w:val="32"/>
          <w:szCs w:val="32"/>
        </w:rPr>
        <w:t>协议，通过林地入股、技术培训、农产品回收、园区务工等方式，带</w:t>
      </w:r>
      <w:r>
        <w:rPr>
          <w:rFonts w:hint="eastAsia" w:ascii="仿宋_GB2312" w:eastAsia="仿宋_GB2312"/>
          <w:sz w:val="32"/>
          <w:szCs w:val="32"/>
          <w:lang w:eastAsia="zh-CN"/>
        </w:rPr>
        <w:t>动农户户均</w:t>
      </w:r>
      <w:r>
        <w:rPr>
          <w:rFonts w:hint="eastAsia" w:ascii="仿宋_GB2312" w:eastAsia="仿宋_GB2312"/>
          <w:sz w:val="32"/>
          <w:szCs w:val="32"/>
        </w:rPr>
        <w:t>增收</w:t>
      </w:r>
      <w:r>
        <w:rPr>
          <w:rFonts w:hint="eastAsia" w:ascii="仿宋_GB2312" w:eastAsia="仿宋_GB2312"/>
          <w:sz w:val="32"/>
          <w:szCs w:val="32"/>
          <w:lang w:eastAsia="zh-CN"/>
        </w:rPr>
        <w:t>总金额</w:t>
      </w:r>
      <w:r>
        <w:rPr>
          <w:rFonts w:hint="eastAsia" w:ascii="仿宋_GB2312" w:eastAsia="仿宋_GB2312"/>
          <w:sz w:val="32"/>
          <w:szCs w:val="32"/>
        </w:rPr>
        <w:t>不低于</w:t>
      </w:r>
      <w:r>
        <w:rPr>
          <w:rFonts w:hint="eastAsia" w:ascii="仿宋_GB2312" w:eastAsia="仿宋_GB2312"/>
          <w:sz w:val="32"/>
          <w:szCs w:val="32"/>
          <w:lang w:val="en-US" w:eastAsia="zh-CN"/>
        </w:rPr>
        <w:t>2000元</w:t>
      </w:r>
      <w:r>
        <w:rPr>
          <w:rFonts w:hint="eastAsia" w:ascii="仿宋_GB2312" w:eastAsia="仿宋_GB2312"/>
          <w:sz w:val="32"/>
          <w:szCs w:val="32"/>
        </w:rPr>
        <w:t>，建立好带动</w:t>
      </w:r>
      <w:r>
        <w:rPr>
          <w:rFonts w:hint="eastAsia" w:ascii="仿宋_GB2312" w:eastAsia="仿宋_GB2312"/>
          <w:sz w:val="32"/>
          <w:szCs w:val="32"/>
          <w:lang w:eastAsia="zh-CN"/>
        </w:rPr>
        <w:t>增收</w:t>
      </w:r>
      <w:r>
        <w:rPr>
          <w:rFonts w:hint="eastAsia" w:ascii="仿宋_GB2312" w:eastAsia="仿宋_GB2312"/>
          <w:sz w:val="32"/>
          <w:szCs w:val="32"/>
        </w:rPr>
        <w:t>人口台账和花名册。相关资料要在村级政务公开专栏或项目实施地公开公示不少于</w:t>
      </w:r>
      <w:r>
        <w:rPr>
          <w:rFonts w:hint="eastAsia" w:ascii="仿宋_GB2312" w:eastAsia="仿宋_GB2312"/>
          <w:sz w:val="32"/>
          <w:szCs w:val="32"/>
          <w:lang w:val="en-US" w:eastAsia="zh-CN"/>
        </w:rPr>
        <w:t>10</w:t>
      </w:r>
      <w:r>
        <w:rPr>
          <w:rFonts w:hint="eastAsia" w:ascii="仿宋_GB2312" w:eastAsia="仿宋_GB2312"/>
          <w:sz w:val="32"/>
          <w:szCs w:val="32"/>
        </w:rPr>
        <w:t>天，</w:t>
      </w:r>
      <w:r>
        <w:rPr>
          <w:rFonts w:hint="eastAsia" w:ascii="仿宋_GB2312" w:hAnsi="仿宋" w:eastAsia="仿宋_GB2312"/>
          <w:sz w:val="32"/>
          <w:szCs w:val="32"/>
        </w:rPr>
        <w:t>项目完工后，要及时申请县林业部门组织相关业务部门和技术人员开展验收和资金拨付。</w:t>
      </w:r>
    </w:p>
    <w:p>
      <w:pPr>
        <w:keepNext w:val="0"/>
        <w:keepLines w:val="0"/>
        <w:pageBreakBefore w:val="0"/>
        <w:widowControl w:val="0"/>
        <w:numPr>
          <w:ilvl w:val="0"/>
          <w:numId w:val="3"/>
        </w:numPr>
        <w:pBdr>
          <w:bottom w:val="single" w:color="FFFFFF" w:sz="4" w:space="31"/>
        </w:pBdr>
        <w:kinsoku/>
        <w:wordWrap/>
        <w:overflowPunct/>
        <w:topLinePunct w:val="0"/>
        <w:autoSpaceDE/>
        <w:autoSpaceDN/>
        <w:bidi w:val="0"/>
        <w:adjustRightInd w:val="0"/>
        <w:snapToGrid w:val="0"/>
        <w:spacing w:line="560" w:lineRule="exact"/>
        <w:ind w:left="0" w:leftChars="0" w:firstLine="643" w:firstLineChars="200"/>
        <w:jc w:val="left"/>
        <w:textAlignment w:val="baseline"/>
        <w:rPr>
          <w:rFonts w:hint="eastAsia" w:ascii="仿宋_GB2312" w:hAnsi="仿宋" w:eastAsia="仿宋_GB2312"/>
          <w:sz w:val="32"/>
          <w:szCs w:val="32"/>
        </w:rPr>
      </w:pPr>
      <w:r>
        <w:rPr>
          <w:rFonts w:hint="eastAsia" w:ascii="仿宋_GB2312" w:hAnsi="仿宋" w:eastAsia="仿宋_GB2312"/>
          <w:b/>
          <w:sz w:val="32"/>
          <w:szCs w:val="32"/>
        </w:rPr>
        <w:t>项目管理：</w:t>
      </w:r>
      <w:r>
        <w:rPr>
          <w:rFonts w:hint="eastAsia" w:ascii="仿宋_GB2312" w:hAnsi="仿宋" w:eastAsia="仿宋_GB2312"/>
          <w:sz w:val="32"/>
          <w:szCs w:val="32"/>
        </w:rPr>
        <w:t>项目建设严格按照</w:t>
      </w:r>
      <w:r>
        <w:rPr>
          <w:rFonts w:hint="eastAsia" w:ascii="仿宋_GB2312" w:hAnsi="仿宋" w:eastAsia="仿宋_GB2312"/>
          <w:sz w:val="32"/>
          <w:szCs w:val="32"/>
          <w:lang w:eastAsia="zh-CN"/>
        </w:rPr>
        <w:t>项目</w:t>
      </w:r>
      <w:r>
        <w:rPr>
          <w:rFonts w:hint="eastAsia" w:ascii="仿宋_GB2312" w:hAnsi="仿宋" w:eastAsia="仿宋_GB2312"/>
          <w:sz w:val="32"/>
          <w:szCs w:val="32"/>
        </w:rPr>
        <w:t>实施方案组织实施，不得随意变更和调整，要严格按照绩效目标、批准的项目计划，根据项目需要实行公告公示制、合同管理制，按期建成并达到项目的建设标准。项目完工后，一是开展绩效评价和结果应用；二是做好项目档案的收集和整理工作；三是做好项目的</w:t>
      </w:r>
      <w:r>
        <w:rPr>
          <w:rFonts w:hint="eastAsia" w:ascii="仿宋_GB2312" w:hAnsi="仿宋" w:eastAsia="仿宋_GB2312"/>
          <w:sz w:val="32"/>
          <w:szCs w:val="32"/>
          <w:lang w:eastAsia="zh-CN"/>
        </w:rPr>
        <w:t>资金拨付和</w:t>
      </w:r>
      <w:r>
        <w:rPr>
          <w:rFonts w:hint="eastAsia" w:ascii="仿宋_GB2312" w:hAnsi="仿宋" w:eastAsia="仿宋_GB2312"/>
          <w:sz w:val="32"/>
          <w:szCs w:val="32"/>
        </w:rPr>
        <w:t>交付使用管理工作。</w:t>
      </w:r>
    </w:p>
    <w:p>
      <w:pPr>
        <w:keepNext w:val="0"/>
        <w:keepLines w:val="0"/>
        <w:pageBreakBefore w:val="0"/>
        <w:widowControl w:val="0"/>
        <w:numPr>
          <w:ilvl w:val="0"/>
          <w:numId w:val="4"/>
        </w:numPr>
        <w:pBdr>
          <w:bottom w:val="single" w:color="FFFFFF" w:sz="4" w:space="31"/>
        </w:pBdr>
        <w:kinsoku/>
        <w:wordWrap/>
        <w:overflowPunct/>
        <w:topLinePunct w:val="0"/>
        <w:autoSpaceDE/>
        <w:autoSpaceDN/>
        <w:bidi w:val="0"/>
        <w:adjustRightInd w:val="0"/>
        <w:snapToGrid w:val="0"/>
        <w:spacing w:line="560" w:lineRule="exact"/>
        <w:ind w:left="0" w:leftChars="0" w:firstLine="643" w:firstLineChars="200"/>
        <w:jc w:val="left"/>
        <w:textAlignment w:val="baseline"/>
        <w:rPr>
          <w:rFonts w:hint="eastAsia" w:ascii="仿宋_GB2312" w:eastAsia="仿宋_GB2312"/>
          <w:b/>
          <w:sz w:val="32"/>
          <w:szCs w:val="32"/>
        </w:rPr>
      </w:pPr>
      <w:r>
        <w:rPr>
          <w:rFonts w:hint="eastAsia" w:ascii="仿宋_GB2312" w:eastAsia="仿宋_GB2312"/>
          <w:b/>
          <w:sz w:val="32"/>
          <w:szCs w:val="32"/>
        </w:rPr>
        <w:t>检查验收</w:t>
      </w:r>
      <w:r>
        <w:rPr>
          <w:rFonts w:hint="eastAsia" w:ascii="仿宋_GB2312" w:eastAsia="仿宋_GB2312"/>
          <w:b/>
          <w:sz w:val="32"/>
          <w:szCs w:val="32"/>
          <w:lang w:eastAsia="zh-CN"/>
        </w:rPr>
        <w:t>（</w:t>
      </w:r>
      <w:r>
        <w:rPr>
          <w:rFonts w:hint="eastAsia" w:ascii="仿宋_GB2312" w:eastAsia="仿宋_GB2312"/>
          <w:b/>
          <w:sz w:val="32"/>
          <w:szCs w:val="32"/>
          <w:lang w:val="en-US" w:eastAsia="zh-CN"/>
        </w:rPr>
        <w:t>11月</w:t>
      </w:r>
      <w:r>
        <w:rPr>
          <w:rFonts w:hint="eastAsia" w:ascii="仿宋_GB2312" w:eastAsia="仿宋_GB2312"/>
          <w:b/>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eastAsia="仿宋_GB2312"/>
          <w:sz w:val="32"/>
          <w:szCs w:val="32"/>
          <w:lang w:eastAsia="zh-CN"/>
        </w:rPr>
      </w:pP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20日</w:t>
      </w:r>
      <w:r>
        <w:rPr>
          <w:rFonts w:hint="eastAsia" w:ascii="仿宋_GB2312" w:eastAsia="仿宋_GB2312"/>
          <w:sz w:val="32"/>
          <w:szCs w:val="32"/>
          <w:lang w:val="en-US" w:eastAsia="zh-CN"/>
        </w:rPr>
        <w:t>前</w:t>
      </w:r>
      <w:r>
        <w:rPr>
          <w:rFonts w:hint="eastAsia" w:ascii="仿宋_GB2312" w:eastAsia="仿宋_GB2312"/>
          <w:sz w:val="32"/>
          <w:szCs w:val="32"/>
        </w:rPr>
        <w:t>，各建设单位要向县林业局提交验收申请，县林业局组织相关人员，按照</w:t>
      </w:r>
      <w:r>
        <w:rPr>
          <w:rFonts w:hint="eastAsia" w:ascii="仿宋_GB2312" w:eastAsia="仿宋_GB2312"/>
          <w:sz w:val="32"/>
          <w:szCs w:val="32"/>
          <w:lang w:eastAsia="zh-CN"/>
        </w:rPr>
        <w:t>实施</w:t>
      </w:r>
      <w:r>
        <w:rPr>
          <w:rFonts w:hint="eastAsia" w:ascii="仿宋_GB2312" w:eastAsia="仿宋_GB2312"/>
          <w:sz w:val="32"/>
          <w:szCs w:val="32"/>
        </w:rPr>
        <w:t>方案要求，进行检查验收，确保完成目标任务，符合项目</w:t>
      </w:r>
      <w:r>
        <w:rPr>
          <w:rFonts w:hint="eastAsia" w:ascii="仿宋_GB2312" w:eastAsia="仿宋_GB2312"/>
          <w:sz w:val="32"/>
          <w:szCs w:val="32"/>
          <w:lang w:eastAsia="zh-CN"/>
        </w:rPr>
        <w:t>建设</w:t>
      </w:r>
      <w:r>
        <w:rPr>
          <w:rFonts w:hint="eastAsia" w:ascii="仿宋_GB2312" w:eastAsia="仿宋_GB2312"/>
          <w:sz w:val="32"/>
          <w:szCs w:val="32"/>
        </w:rPr>
        <w:t>要求，达到预期目标，并出具验收报告</w:t>
      </w:r>
      <w:r>
        <w:rPr>
          <w:rFonts w:hint="eastAsia" w:ascii="仿宋_GB2312" w:eastAsia="仿宋_GB2312"/>
          <w:sz w:val="32"/>
          <w:szCs w:val="32"/>
          <w:lang w:eastAsia="zh-CN"/>
        </w:rPr>
        <w:t>。</w:t>
      </w:r>
      <w:r>
        <w:rPr>
          <w:rFonts w:hint="eastAsia" w:ascii="仿宋_GB2312" w:eastAsia="仿宋_GB2312"/>
          <w:sz w:val="32"/>
          <w:szCs w:val="32"/>
        </w:rPr>
        <w:t>对检查验收不合格的，按照检查组提出的整改要求，限时整改</w:t>
      </w:r>
      <w:r>
        <w:rPr>
          <w:rFonts w:hint="eastAsia" w:ascii="仿宋_GB2312" w:eastAsia="仿宋_GB2312"/>
          <w:sz w:val="32"/>
          <w:szCs w:val="32"/>
          <w:lang w:eastAsia="zh-CN"/>
        </w:rPr>
        <w:t>。</w:t>
      </w:r>
    </w:p>
    <w:p>
      <w:pPr>
        <w:keepNext w:val="0"/>
        <w:keepLines w:val="0"/>
        <w:pageBreakBefore w:val="0"/>
        <w:widowControl w:val="0"/>
        <w:numPr>
          <w:ilvl w:val="0"/>
          <w:numId w:val="4"/>
        </w:numPr>
        <w:pBdr>
          <w:bottom w:val="single" w:color="FFFFFF" w:sz="4" w:space="31"/>
        </w:pBdr>
        <w:kinsoku/>
        <w:wordWrap/>
        <w:overflowPunct/>
        <w:topLinePunct w:val="0"/>
        <w:autoSpaceDE/>
        <w:autoSpaceDN/>
        <w:bidi w:val="0"/>
        <w:adjustRightInd w:val="0"/>
        <w:snapToGrid w:val="0"/>
        <w:spacing w:line="560" w:lineRule="exact"/>
        <w:ind w:left="0" w:leftChars="0" w:firstLine="643" w:firstLineChars="200"/>
        <w:jc w:val="left"/>
        <w:textAlignment w:val="baseline"/>
        <w:rPr>
          <w:rFonts w:hint="eastAsia" w:ascii="仿宋_GB2312" w:eastAsia="仿宋_GB2312"/>
          <w:b/>
          <w:sz w:val="32"/>
          <w:szCs w:val="32"/>
          <w:lang w:eastAsia="zh-CN"/>
        </w:rPr>
      </w:pPr>
      <w:r>
        <w:rPr>
          <w:rFonts w:hint="eastAsia" w:ascii="仿宋_GB2312" w:eastAsia="仿宋_GB2312"/>
          <w:b/>
          <w:sz w:val="32"/>
          <w:szCs w:val="32"/>
        </w:rPr>
        <w:t>资金拨付</w:t>
      </w:r>
      <w:r>
        <w:rPr>
          <w:rFonts w:hint="eastAsia" w:ascii="仿宋_GB2312" w:eastAsia="仿宋_GB2312"/>
          <w:b/>
          <w:sz w:val="32"/>
          <w:szCs w:val="32"/>
          <w:lang w:eastAsia="zh-CN"/>
        </w:rPr>
        <w:t>（</w:t>
      </w:r>
      <w:r>
        <w:rPr>
          <w:rFonts w:hint="eastAsia" w:ascii="仿宋_GB2312" w:eastAsia="仿宋_GB2312"/>
          <w:b/>
          <w:sz w:val="32"/>
          <w:szCs w:val="32"/>
          <w:lang w:val="en-US" w:eastAsia="zh-CN"/>
        </w:rPr>
        <w:t>12月</w:t>
      </w:r>
      <w:r>
        <w:rPr>
          <w:rFonts w:hint="eastAsia" w:ascii="仿宋_GB2312" w:eastAsia="仿宋_GB2312"/>
          <w:b/>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jc w:val="left"/>
        <w:textAlignment w:val="baseline"/>
        <w:rPr>
          <w:rFonts w:hint="eastAsia" w:ascii="仿宋_GB2312" w:hAnsi="仿宋" w:eastAsia="仿宋_GB2312"/>
          <w:sz w:val="32"/>
          <w:szCs w:val="32"/>
        </w:rPr>
      </w:pPr>
      <w:r>
        <w:rPr>
          <w:rFonts w:hint="eastAsia" w:ascii="仿宋_GB2312" w:eastAsia="仿宋_GB2312"/>
          <w:b/>
          <w:sz w:val="32"/>
          <w:szCs w:val="32"/>
          <w:lang w:val="en-US" w:eastAsia="zh-CN"/>
        </w:rPr>
        <w:t>1、</w:t>
      </w:r>
      <w:r>
        <w:rPr>
          <w:rFonts w:hint="eastAsia" w:ascii="仿宋_GB2312" w:eastAsia="仿宋_GB2312"/>
          <w:b/>
          <w:sz w:val="32"/>
          <w:szCs w:val="32"/>
        </w:rPr>
        <w:t>资金管理：</w:t>
      </w:r>
      <w:r>
        <w:rPr>
          <w:rFonts w:hint="eastAsia" w:ascii="仿宋_GB2312" w:eastAsia="仿宋_GB2312"/>
          <w:sz w:val="32"/>
          <w:szCs w:val="32"/>
        </w:rPr>
        <w:t>本项目资金为</w:t>
      </w:r>
      <w:r>
        <w:rPr>
          <w:rFonts w:hint="eastAsia" w:ascii="仿宋_GB2312" w:eastAsia="仿宋_GB2312"/>
          <w:sz w:val="32"/>
          <w:szCs w:val="32"/>
          <w:lang w:eastAsia="zh-CN"/>
        </w:rPr>
        <w:t>省级财政衔接</w:t>
      </w:r>
      <w:r>
        <w:rPr>
          <w:rFonts w:hint="eastAsia" w:ascii="仿宋_GB2312" w:eastAsia="仿宋_GB2312"/>
          <w:sz w:val="32"/>
          <w:szCs w:val="32"/>
        </w:rPr>
        <w:t>资金，资金管理要严格按照</w:t>
      </w:r>
      <w:r>
        <w:rPr>
          <w:rFonts w:hint="eastAsia" w:ascii="仿宋_GB2312" w:hAnsi="仿宋_GB2312" w:eastAsia="仿宋_GB2312" w:cs="仿宋_GB2312"/>
          <w:bCs/>
          <w:color w:val="auto"/>
          <w:sz w:val="32"/>
          <w:szCs w:val="32"/>
          <w:lang w:val="en-US" w:eastAsia="zh-CN"/>
        </w:rPr>
        <w:t>《安康市财政衔接推进乡村振兴补助资金管理办法》和《白河县财政衔接推进乡村振兴补助资金管理实施细则》</w:t>
      </w:r>
      <w:r>
        <w:rPr>
          <w:rFonts w:hint="eastAsia" w:ascii="仿宋_GB2312" w:eastAsia="仿宋_GB2312"/>
          <w:sz w:val="32"/>
          <w:szCs w:val="32"/>
        </w:rPr>
        <w:t>相关要求，严格项目资金管理，实行专户储存、专账管理、专款专用，严禁截留、挪用，</w:t>
      </w:r>
      <w:r>
        <w:rPr>
          <w:rFonts w:hint="eastAsia" w:ascii="仿宋_GB2312" w:hAnsi="仿宋" w:eastAsia="仿宋_GB2312"/>
          <w:sz w:val="32"/>
          <w:szCs w:val="32"/>
        </w:rPr>
        <w:t>确保资金安全和资金成效。</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jc w:val="left"/>
        <w:textAlignment w:val="baseline"/>
        <w:rPr>
          <w:rFonts w:hint="eastAsia" w:ascii="仿宋_GB2312" w:eastAsia="仿宋_GB2312"/>
          <w:sz w:val="32"/>
          <w:szCs w:val="32"/>
        </w:rPr>
      </w:pPr>
      <w:r>
        <w:rPr>
          <w:rFonts w:hint="eastAsia" w:ascii="仿宋_GB2312" w:eastAsia="仿宋_GB2312"/>
          <w:b/>
          <w:sz w:val="32"/>
          <w:szCs w:val="32"/>
          <w:lang w:val="en-US" w:eastAsia="zh-CN"/>
        </w:rPr>
        <w:t>2、</w:t>
      </w:r>
      <w:r>
        <w:rPr>
          <w:rFonts w:hint="eastAsia" w:ascii="仿宋_GB2312" w:eastAsia="仿宋_GB2312"/>
          <w:b/>
          <w:sz w:val="32"/>
          <w:szCs w:val="32"/>
        </w:rPr>
        <w:t>资金拨付：</w:t>
      </w:r>
      <w:r>
        <w:rPr>
          <w:rFonts w:hint="eastAsia" w:ascii="仿宋_GB2312" w:eastAsia="仿宋_GB2312"/>
          <w:sz w:val="32"/>
          <w:szCs w:val="32"/>
        </w:rPr>
        <w:t>项目</w:t>
      </w:r>
      <w:r>
        <w:rPr>
          <w:rFonts w:hint="eastAsia" w:ascii="仿宋_GB2312" w:eastAsia="仿宋_GB2312"/>
          <w:sz w:val="32"/>
          <w:szCs w:val="32"/>
          <w:lang w:eastAsia="zh-CN"/>
        </w:rPr>
        <w:t>启动后，经业主申请，按项目验收进度拨付</w:t>
      </w:r>
      <w:r>
        <w:rPr>
          <w:rFonts w:hint="eastAsia" w:ascii="仿宋_GB2312" w:eastAsia="仿宋_GB2312"/>
          <w:sz w:val="32"/>
          <w:szCs w:val="32"/>
          <w:lang w:val="en-US" w:eastAsia="zh-CN"/>
        </w:rPr>
        <w:t>资金，项目</w:t>
      </w:r>
      <w:r>
        <w:rPr>
          <w:rFonts w:hint="eastAsia" w:ascii="仿宋_GB2312" w:eastAsia="仿宋_GB2312"/>
          <w:sz w:val="32"/>
          <w:szCs w:val="32"/>
        </w:rPr>
        <w:t>建设完成后，根据镇级</w:t>
      </w:r>
      <w:r>
        <w:rPr>
          <w:rFonts w:hint="eastAsia" w:ascii="仿宋_GB2312" w:eastAsia="仿宋_GB2312"/>
          <w:sz w:val="32"/>
          <w:szCs w:val="32"/>
          <w:lang w:eastAsia="zh-CN"/>
        </w:rPr>
        <w:t>和</w:t>
      </w:r>
      <w:r>
        <w:rPr>
          <w:rFonts w:hint="eastAsia" w:ascii="仿宋_GB2312" w:eastAsia="仿宋_GB2312"/>
          <w:sz w:val="32"/>
          <w:szCs w:val="32"/>
        </w:rPr>
        <w:t>县林业局组织检查组</w:t>
      </w:r>
      <w:r>
        <w:rPr>
          <w:rFonts w:hint="eastAsia" w:ascii="仿宋_GB2312" w:eastAsia="仿宋_GB2312"/>
          <w:sz w:val="32"/>
          <w:szCs w:val="32"/>
          <w:lang w:eastAsia="zh-CN"/>
        </w:rPr>
        <w:t>开展自查验收合格后，拨付补助资金</w:t>
      </w:r>
      <w:r>
        <w:rPr>
          <w:rFonts w:hint="eastAsia" w:ascii="仿宋_GB2312" w:eastAsia="仿宋_GB2312"/>
          <w:sz w:val="32"/>
          <w:szCs w:val="32"/>
        </w:rPr>
        <w:t>。建设单位需提供的资料：①</w:t>
      </w:r>
      <w:r>
        <w:rPr>
          <w:rFonts w:hint="eastAsia" w:ascii="仿宋_GB2312" w:eastAsia="仿宋_GB2312"/>
          <w:sz w:val="32"/>
          <w:szCs w:val="32"/>
          <w:lang w:eastAsia="zh-CN"/>
        </w:rPr>
        <w:t>项目建设申请，</w:t>
      </w:r>
      <w:r>
        <w:rPr>
          <w:rFonts w:hint="eastAsia" w:ascii="仿宋_GB2312" w:eastAsia="仿宋_GB2312"/>
          <w:sz w:val="32"/>
          <w:szCs w:val="32"/>
        </w:rPr>
        <w:t>建设单位与林业局签署的协议，②带动</w:t>
      </w:r>
      <w:r>
        <w:rPr>
          <w:rFonts w:hint="eastAsia" w:ascii="仿宋_GB2312" w:eastAsia="仿宋_GB2312"/>
          <w:sz w:val="32"/>
          <w:szCs w:val="32"/>
          <w:lang w:eastAsia="zh-CN"/>
        </w:rPr>
        <w:t>增收</w:t>
      </w:r>
      <w:r>
        <w:rPr>
          <w:rFonts w:hint="eastAsia" w:ascii="仿宋_GB2312" w:eastAsia="仿宋_GB2312"/>
          <w:sz w:val="32"/>
          <w:szCs w:val="32"/>
        </w:rPr>
        <w:t>承诺书（经营主体向林业局承诺）</w:t>
      </w:r>
      <w:r>
        <w:rPr>
          <w:rFonts w:hint="eastAsia" w:ascii="仿宋_GB2312" w:eastAsia="仿宋_GB2312"/>
          <w:sz w:val="32"/>
          <w:szCs w:val="32"/>
          <w:lang w:eastAsia="zh-CN"/>
        </w:rPr>
        <w:t>，</w:t>
      </w:r>
      <w:r>
        <w:rPr>
          <w:rFonts w:hint="eastAsia" w:ascii="仿宋_GB2312" w:eastAsia="仿宋_GB2312"/>
          <w:sz w:val="32"/>
          <w:szCs w:val="32"/>
        </w:rPr>
        <w:t>③</w:t>
      </w:r>
      <w:r>
        <w:rPr>
          <w:rFonts w:hint="eastAsia" w:ascii="仿宋_GB2312" w:eastAsia="仿宋_GB2312"/>
          <w:sz w:val="32"/>
          <w:szCs w:val="32"/>
          <w:lang w:eastAsia="zh-CN"/>
        </w:rPr>
        <w:t>增收</w:t>
      </w:r>
      <w:r>
        <w:rPr>
          <w:rFonts w:hint="eastAsia" w:ascii="仿宋_GB2312" w:eastAsia="仿宋_GB2312"/>
          <w:sz w:val="32"/>
          <w:szCs w:val="32"/>
        </w:rPr>
        <w:t>协议（经营主体与</w:t>
      </w:r>
      <w:r>
        <w:rPr>
          <w:rFonts w:hint="eastAsia" w:ascii="仿宋_GB2312" w:eastAsia="仿宋_GB2312"/>
          <w:sz w:val="32"/>
          <w:szCs w:val="32"/>
          <w:lang w:eastAsia="zh-CN"/>
        </w:rPr>
        <w:t>帮扶</w:t>
      </w:r>
      <w:r>
        <w:rPr>
          <w:rFonts w:hint="eastAsia" w:ascii="仿宋_GB2312" w:eastAsia="仿宋_GB2312"/>
          <w:sz w:val="32"/>
          <w:szCs w:val="32"/>
        </w:rPr>
        <w:t>户签订）</w:t>
      </w:r>
      <w:r>
        <w:rPr>
          <w:rFonts w:hint="eastAsia" w:ascii="仿宋_GB2312" w:eastAsia="仿宋_GB2312"/>
          <w:sz w:val="32"/>
          <w:szCs w:val="32"/>
          <w:lang w:eastAsia="zh-CN"/>
        </w:rPr>
        <w:t>，</w:t>
      </w:r>
      <w:r>
        <w:rPr>
          <w:rFonts w:hint="eastAsia" w:ascii="仿宋_GB2312" w:eastAsia="仿宋_GB2312"/>
          <w:sz w:val="32"/>
          <w:szCs w:val="32"/>
        </w:rPr>
        <w:t>④工资发放</w:t>
      </w:r>
      <w:r>
        <w:rPr>
          <w:rFonts w:hint="eastAsia" w:ascii="仿宋_GB2312" w:eastAsia="仿宋_GB2312"/>
          <w:sz w:val="32"/>
          <w:szCs w:val="32"/>
          <w:lang w:eastAsia="zh-CN"/>
        </w:rPr>
        <w:t>台账</w:t>
      </w:r>
      <w:r>
        <w:rPr>
          <w:rFonts w:hint="eastAsia" w:ascii="仿宋_GB2312" w:eastAsia="仿宋_GB2312"/>
          <w:sz w:val="32"/>
          <w:szCs w:val="32"/>
        </w:rPr>
        <w:t>、林地</w:t>
      </w:r>
      <w:r>
        <w:rPr>
          <w:rFonts w:hint="eastAsia" w:ascii="仿宋_GB2312" w:eastAsia="仿宋_GB2312"/>
          <w:sz w:val="32"/>
          <w:szCs w:val="32"/>
          <w:lang w:eastAsia="zh-CN"/>
        </w:rPr>
        <w:t>流转或</w:t>
      </w:r>
      <w:r>
        <w:rPr>
          <w:rFonts w:hint="eastAsia" w:ascii="仿宋_GB2312" w:eastAsia="仿宋_GB2312"/>
          <w:sz w:val="32"/>
          <w:szCs w:val="32"/>
        </w:rPr>
        <w:t>入股分红、产品回收等带动</w:t>
      </w:r>
      <w:r>
        <w:rPr>
          <w:rFonts w:hint="eastAsia" w:ascii="仿宋_GB2312" w:eastAsia="仿宋_GB2312"/>
          <w:sz w:val="32"/>
          <w:szCs w:val="32"/>
          <w:lang w:eastAsia="zh-CN"/>
        </w:rPr>
        <w:t>增收</w:t>
      </w:r>
      <w:r>
        <w:rPr>
          <w:rFonts w:hint="eastAsia" w:ascii="仿宋_GB2312" w:eastAsia="仿宋_GB2312"/>
          <w:sz w:val="32"/>
          <w:szCs w:val="32"/>
        </w:rPr>
        <w:t>台账和银行转账回执单，⑤项目建设内容及带动</w:t>
      </w:r>
      <w:r>
        <w:rPr>
          <w:rFonts w:hint="eastAsia" w:ascii="仿宋_GB2312" w:eastAsia="仿宋_GB2312"/>
          <w:sz w:val="32"/>
          <w:szCs w:val="32"/>
          <w:lang w:eastAsia="zh-CN"/>
        </w:rPr>
        <w:t>增收</w:t>
      </w:r>
      <w:r>
        <w:rPr>
          <w:rFonts w:hint="eastAsia" w:ascii="仿宋_GB2312" w:eastAsia="仿宋_GB2312"/>
          <w:sz w:val="32"/>
          <w:szCs w:val="32"/>
        </w:rPr>
        <w:t>情况</w:t>
      </w:r>
      <w:r>
        <w:rPr>
          <w:rFonts w:hint="eastAsia" w:ascii="仿宋_GB2312" w:eastAsia="仿宋_GB2312"/>
          <w:sz w:val="32"/>
          <w:szCs w:val="32"/>
          <w:lang w:eastAsia="zh-CN"/>
        </w:rPr>
        <w:t>在</w:t>
      </w:r>
      <w:r>
        <w:rPr>
          <w:rFonts w:hint="eastAsia" w:ascii="仿宋_GB2312" w:eastAsia="仿宋_GB2312"/>
          <w:sz w:val="32"/>
          <w:szCs w:val="32"/>
        </w:rPr>
        <w:t>村委会公开公示照片</w:t>
      </w:r>
      <w:r>
        <w:rPr>
          <w:rFonts w:hint="eastAsia" w:ascii="仿宋_GB2312" w:eastAsia="仿宋_GB2312"/>
          <w:sz w:val="32"/>
          <w:szCs w:val="32"/>
          <w:lang w:eastAsia="zh-CN"/>
        </w:rPr>
        <w:t>、远景和近景各一张，</w:t>
      </w:r>
      <w:r>
        <w:rPr>
          <w:rFonts w:hint="eastAsia" w:ascii="仿宋_GB2312" w:eastAsia="仿宋_GB2312"/>
          <w:sz w:val="32"/>
          <w:szCs w:val="32"/>
        </w:rPr>
        <w:t>⑥项项目建设过程照片6张（标注施工前、施工中、施工后），A4纸每页排版2张彩色照片形成对比，⑦检查组出具的项目验收报告，⑧主要领导及经办人员签字后的费用发票，⑨建设单位银行账号及开户行地址（单位名称与合同名称一致）、建设单位法人身份证复印件。</w:t>
      </w:r>
      <w:r>
        <w:rPr>
          <w:rFonts w:hint="eastAsia" w:ascii="仿宋_GB2312" w:eastAsia="仿宋_GB2312"/>
          <w:color w:val="auto"/>
          <w:sz w:val="32"/>
          <w:szCs w:val="32"/>
        </w:rPr>
        <w:t>确保在202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12月前全面</w:t>
      </w:r>
      <w:r>
        <w:rPr>
          <w:rFonts w:hint="eastAsia" w:ascii="仿宋_GB2312" w:eastAsia="仿宋_GB2312"/>
          <w:color w:val="auto"/>
          <w:sz w:val="32"/>
          <w:szCs w:val="32"/>
        </w:rPr>
        <w:t>完成</w:t>
      </w:r>
      <w:r>
        <w:rPr>
          <w:rFonts w:hint="eastAsia" w:ascii="仿宋_GB2312" w:hAnsi="仿宋_GB2312" w:eastAsia="仿宋_GB2312" w:cs="仿宋_GB2312"/>
          <w:bCs/>
          <w:color w:val="auto"/>
          <w:sz w:val="32"/>
          <w:szCs w:val="32"/>
          <w:lang w:val="en-US" w:eastAsia="zh-CN"/>
        </w:rPr>
        <w:t>2024年</w:t>
      </w:r>
      <w:r>
        <w:rPr>
          <w:rFonts w:hint="eastAsia" w:ascii="仿宋" w:hAnsi="仿宋" w:eastAsia="仿宋" w:cs="仿宋"/>
          <w:sz w:val="32"/>
          <w:szCs w:val="32"/>
        </w:rPr>
        <w:t>林下经济补助项</w:t>
      </w:r>
      <w:r>
        <w:rPr>
          <w:rFonts w:hint="eastAsia" w:ascii="仿宋_GB2312" w:hAnsi="仿宋_GB2312" w:eastAsia="仿宋_GB2312" w:cs="仿宋_GB2312"/>
          <w:bCs/>
          <w:color w:val="auto"/>
          <w:sz w:val="32"/>
          <w:szCs w:val="32"/>
          <w:lang w:val="en-US" w:eastAsia="zh-CN"/>
        </w:rPr>
        <w:t>目</w:t>
      </w:r>
      <w:r>
        <w:rPr>
          <w:rFonts w:hint="eastAsia" w:ascii="仿宋_GB2312" w:hAnsi="仿宋" w:eastAsia="仿宋_GB2312"/>
          <w:sz w:val="32"/>
          <w:szCs w:val="32"/>
        </w:rPr>
        <w:t>建设任务</w:t>
      </w:r>
      <w:r>
        <w:rPr>
          <w:rFonts w:hint="eastAsia" w:ascii="仿宋_GB2312" w:eastAsia="仿宋_GB2312"/>
          <w:sz w:val="32"/>
          <w:szCs w:val="32"/>
        </w:rPr>
        <w:t>。</w:t>
      </w:r>
    </w:p>
    <w:p>
      <w:pPr>
        <w:keepNext w:val="0"/>
        <w:keepLines w:val="0"/>
        <w:pageBreakBefore w:val="0"/>
        <w:widowControl w:val="0"/>
        <w:numPr>
          <w:ilvl w:val="0"/>
          <w:numId w:val="1"/>
        </w:numPr>
        <w:pBdr>
          <w:bottom w:val="single" w:color="FFFFFF" w:sz="4" w:space="31"/>
        </w:pBdr>
        <w:kinsoku/>
        <w:wordWrap/>
        <w:overflowPunct/>
        <w:topLinePunct w:val="0"/>
        <w:autoSpaceDE/>
        <w:autoSpaceDN/>
        <w:bidi w:val="0"/>
        <w:adjustRightInd w:val="0"/>
        <w:snapToGrid w:val="0"/>
        <w:spacing w:line="560" w:lineRule="exact"/>
        <w:ind w:left="0" w:leftChars="0" w:firstLine="640" w:firstLineChars="200"/>
        <w:jc w:val="left"/>
        <w:textAlignment w:val="baseline"/>
        <w:rPr>
          <w:rFonts w:ascii="仿宋_GB2312" w:hAnsi="仿宋_GB2312" w:eastAsia="仿宋_GB2312" w:cs="仿宋_GB2312"/>
          <w:bCs/>
          <w:sz w:val="32"/>
          <w:szCs w:val="32"/>
        </w:rPr>
      </w:pPr>
      <w:r>
        <w:rPr>
          <w:rFonts w:hint="eastAsia" w:ascii="黑体" w:hAnsi="黑体" w:eastAsia="黑体" w:cs="黑体"/>
          <w:b w:val="0"/>
          <w:bCs/>
          <w:sz w:val="32"/>
          <w:szCs w:val="32"/>
        </w:rPr>
        <w:t>保障措施</w:t>
      </w:r>
      <w:bookmarkStart w:id="0" w:name="_Toc27813"/>
      <w:r>
        <w:rPr>
          <w:rFonts w:hint="eastAsia" w:ascii="黑体" w:hAnsi="黑体" w:eastAsia="黑体" w:cs="黑体"/>
          <w:b w:val="0"/>
          <w:bCs/>
          <w:sz w:val="32"/>
          <w:szCs w:val="32"/>
          <w:lang w:val="en-US" w:eastAsia="zh-CN"/>
        </w:rPr>
        <w:t xml:space="preserve">                                    </w:t>
      </w:r>
    </w:p>
    <w:p>
      <w:pPr>
        <w:keepNext w:val="0"/>
        <w:keepLines w:val="0"/>
        <w:pageBreakBefore w:val="0"/>
        <w:widowControl w:val="0"/>
        <w:numPr>
          <w:ilvl w:val="0"/>
          <w:numId w:val="5"/>
        </w:numPr>
        <w:pBdr>
          <w:bottom w:val="single" w:color="FFFFFF" w:sz="4" w:space="31"/>
        </w:pBdr>
        <w:kinsoku/>
        <w:wordWrap/>
        <w:overflowPunct/>
        <w:topLinePunct w:val="0"/>
        <w:autoSpaceDE/>
        <w:autoSpaceDN/>
        <w:bidi w:val="0"/>
        <w:adjustRightInd w:val="0"/>
        <w:snapToGrid w:val="0"/>
        <w:spacing w:line="560" w:lineRule="exact"/>
        <w:ind w:firstLine="643" w:firstLineChars="200"/>
        <w:jc w:val="left"/>
        <w:textAlignment w:val="baseline"/>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强化领导，明确责任</w:t>
      </w:r>
      <w:bookmarkEnd w:id="0"/>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val="0"/>
          <w:sz w:val="32"/>
          <w:szCs w:val="32"/>
        </w:rPr>
        <w:t>为</w:t>
      </w:r>
      <w:r>
        <w:rPr>
          <w:rFonts w:hint="eastAsia" w:ascii="仿宋_GB2312" w:hAnsi="仿宋_GB2312" w:eastAsia="仿宋_GB2312" w:cs="仿宋_GB2312"/>
          <w:b w:val="0"/>
          <w:sz w:val="32"/>
          <w:szCs w:val="32"/>
          <w:lang w:eastAsia="zh-CN"/>
        </w:rPr>
        <w:t>全面做好林下经济补助</w:t>
      </w:r>
      <w:r>
        <w:rPr>
          <w:rFonts w:hint="eastAsia" w:ascii="仿宋_GB2312" w:hAnsi="仿宋_GB2312" w:eastAsia="仿宋_GB2312" w:cs="仿宋_GB2312"/>
          <w:b w:val="0"/>
          <w:sz w:val="32"/>
          <w:szCs w:val="32"/>
        </w:rPr>
        <w:t>项目，</w:t>
      </w:r>
      <w:bookmarkStart w:id="1" w:name="_Toc11132"/>
      <w:r>
        <w:rPr>
          <w:rFonts w:hint="eastAsia" w:ascii="仿宋_GB2312" w:hAnsi="仿宋_GB2312" w:eastAsia="仿宋_GB2312" w:cs="仿宋_GB2312"/>
          <w:sz w:val="32"/>
          <w:szCs w:val="32"/>
          <w:lang w:val="en-US" w:eastAsia="zh-CN"/>
        </w:rPr>
        <w:t>白河县林业局</w:t>
      </w:r>
      <w:r>
        <w:rPr>
          <w:rFonts w:hint="eastAsia" w:ascii="仿宋_GB2312" w:hAnsi="仿宋_GB2312" w:eastAsia="仿宋_GB2312" w:cs="仿宋_GB2312"/>
          <w:sz w:val="32"/>
          <w:szCs w:val="32"/>
          <w:lang w:val="zh-CN" w:eastAsia="zh-CN"/>
        </w:rPr>
        <w:t>成立了以局长为组长，各联镇领导和包抓技术干部为成员的领导小组，明确了具体股室承担业务工作，通过加强施工中的管理和质量把控，及时掌握施工进度，及时向市林业局报告项目进展有关情况，做到分工明确、责任清晰，紧密配合，形成合力，确保此项工作顺利开展，有效提高工作效能和效率。</w:t>
      </w:r>
      <w:bookmarkEnd w:id="1"/>
      <w:bookmarkStart w:id="2" w:name="_Toc14832"/>
    </w:p>
    <w:p>
      <w:pPr>
        <w:keepNext w:val="0"/>
        <w:keepLines w:val="0"/>
        <w:pageBreakBefore w:val="0"/>
        <w:widowControl w:val="0"/>
        <w:numPr>
          <w:ilvl w:val="0"/>
          <w:numId w:val="5"/>
        </w:numPr>
        <w:pBdr>
          <w:bottom w:val="single" w:color="FFFFFF" w:sz="4" w:space="31"/>
        </w:pBdr>
        <w:kinsoku/>
        <w:wordWrap/>
        <w:overflowPunct/>
        <w:topLinePunct w:val="0"/>
        <w:autoSpaceDE/>
        <w:autoSpaceDN/>
        <w:bidi w:val="0"/>
        <w:adjustRightInd w:val="0"/>
        <w:snapToGrid w:val="0"/>
        <w:spacing w:line="560" w:lineRule="exact"/>
        <w:ind w:left="0" w:leftChars="0" w:firstLine="643" w:firstLineChars="200"/>
        <w:jc w:val="left"/>
        <w:textAlignment w:val="baseline"/>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科学管理、确保质量</w:t>
      </w:r>
      <w:bookmarkEnd w:id="2"/>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对参与项目建设的经营主体和技术人员进行技术培训，提高业务水平，并做好“事前指导、中间检查、竣工验收”三个环节管理。通过事前指导，提出明确的技术标准和质量要求，中间检查要始终贯穿于工程建设的全过程，通过竣工验收，检验成效，总结经验，奖优罚劣。同时强化工程监督检查机制，对工程建设进行全过程监督检查，发现问题，及时解决，确保工程建设质量。</w:t>
      </w:r>
      <w:bookmarkStart w:id="3" w:name="_Toc30312"/>
    </w:p>
    <w:p>
      <w:pPr>
        <w:keepNext w:val="0"/>
        <w:keepLines w:val="0"/>
        <w:pageBreakBefore w:val="0"/>
        <w:widowControl w:val="0"/>
        <w:numPr>
          <w:ilvl w:val="0"/>
          <w:numId w:val="5"/>
        </w:numPr>
        <w:pBdr>
          <w:bottom w:val="single" w:color="FFFFFF" w:sz="4" w:space="31"/>
        </w:pBdr>
        <w:kinsoku/>
        <w:wordWrap/>
        <w:overflowPunct/>
        <w:topLinePunct w:val="0"/>
        <w:autoSpaceDE/>
        <w:autoSpaceDN/>
        <w:bidi w:val="0"/>
        <w:adjustRightInd w:val="0"/>
        <w:snapToGrid w:val="0"/>
        <w:spacing w:line="560" w:lineRule="exact"/>
        <w:ind w:left="0" w:leftChars="0" w:firstLine="643" w:firstLineChars="200"/>
        <w:jc w:val="left"/>
        <w:textAlignment w:val="baseline"/>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加强管护，巩固成果</w:t>
      </w:r>
      <w:bookmarkEnd w:id="3"/>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b w:val="0"/>
          <w:sz w:val="32"/>
          <w:szCs w:val="32"/>
        </w:rPr>
      </w:pPr>
      <w:r>
        <w:rPr>
          <w:rFonts w:hint="eastAsia" w:ascii="仿宋_GB2312" w:hAnsi="仿宋_GB2312" w:eastAsia="仿宋_GB2312" w:cs="仿宋_GB2312"/>
          <w:b w:val="0"/>
          <w:bCs w:val="0"/>
          <w:sz w:val="32"/>
          <w:szCs w:val="32"/>
          <w:lang w:val="zh-CN" w:eastAsia="zh-CN"/>
        </w:rPr>
        <w:t>采取多种形式，多方筹集资金，制定切实可行的管护制度，加大对项目作业区的管护力度；</w:t>
      </w:r>
      <w:r>
        <w:rPr>
          <w:rFonts w:hint="eastAsia" w:ascii="仿宋_GB2312" w:hAnsi="仿宋_GB2312" w:eastAsia="仿宋_GB2312" w:cs="仿宋_GB2312"/>
          <w:b w:val="0"/>
          <w:sz w:val="32"/>
          <w:szCs w:val="32"/>
        </w:rPr>
        <w:t>突出重点，打造产业重点镇村，扩大规范化建设基地规模，注重科技成果推广应用，不断提升经营管理技术水平，引领全县</w:t>
      </w:r>
      <w:r>
        <w:rPr>
          <w:rFonts w:hint="eastAsia" w:ascii="仿宋_GB2312" w:hAnsi="仿宋_GB2312" w:eastAsia="仿宋_GB2312" w:cs="仿宋_GB2312"/>
          <w:b w:val="0"/>
          <w:sz w:val="32"/>
          <w:szCs w:val="32"/>
          <w:lang w:eastAsia="zh-CN"/>
        </w:rPr>
        <w:t>林下经济</w:t>
      </w:r>
      <w:r>
        <w:rPr>
          <w:rFonts w:hint="eastAsia" w:ascii="仿宋_GB2312" w:hAnsi="仿宋_GB2312" w:eastAsia="仿宋_GB2312" w:cs="仿宋_GB2312"/>
          <w:b w:val="0"/>
          <w:sz w:val="32"/>
          <w:szCs w:val="32"/>
        </w:rPr>
        <w:t>发展，提升产业发展新水平。进一步鼓励动员企业、专业合作社、造林大户投身</w:t>
      </w:r>
      <w:r>
        <w:rPr>
          <w:rFonts w:hint="eastAsia" w:ascii="仿宋_GB2312" w:hAnsi="仿宋_GB2312" w:eastAsia="仿宋_GB2312" w:cs="仿宋_GB2312"/>
          <w:b w:val="0"/>
          <w:sz w:val="32"/>
          <w:szCs w:val="32"/>
          <w:lang w:eastAsia="zh-CN"/>
        </w:rPr>
        <w:t>林下经济</w:t>
      </w:r>
      <w:r>
        <w:rPr>
          <w:rFonts w:hint="eastAsia" w:ascii="仿宋_GB2312" w:hAnsi="仿宋_GB2312" w:eastAsia="仿宋_GB2312" w:cs="仿宋_GB2312"/>
          <w:b w:val="0"/>
          <w:sz w:val="32"/>
          <w:szCs w:val="32"/>
        </w:rPr>
        <w:t>发展，规模开发林产品，带动周边群众和社会力量，积极参与林产品开发，形成全民参与，全社会大办林业产业的氛围。</w:t>
      </w:r>
      <w:bookmarkStart w:id="4" w:name="_Toc27365"/>
    </w:p>
    <w:p>
      <w:pPr>
        <w:keepNext w:val="0"/>
        <w:keepLines w:val="0"/>
        <w:pageBreakBefore w:val="0"/>
        <w:widowControl w:val="0"/>
        <w:numPr>
          <w:ilvl w:val="0"/>
          <w:numId w:val="6"/>
        </w:numPr>
        <w:pBdr>
          <w:bottom w:val="single" w:color="FFFFFF" w:sz="4" w:space="31"/>
        </w:pBdr>
        <w:kinsoku/>
        <w:wordWrap/>
        <w:overflowPunct/>
        <w:topLinePunct w:val="0"/>
        <w:autoSpaceDE/>
        <w:autoSpaceDN/>
        <w:bidi w:val="0"/>
        <w:adjustRightInd w:val="0"/>
        <w:snapToGrid w:val="0"/>
        <w:spacing w:line="560" w:lineRule="exact"/>
        <w:ind w:firstLine="643" w:firstLineChars="200"/>
        <w:jc w:val="left"/>
        <w:textAlignment w:val="baseline"/>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严格检查、规范管理</w:t>
      </w:r>
      <w:bookmarkEnd w:id="4"/>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及时开展项目检查验收，</w:t>
      </w:r>
      <w:r>
        <w:rPr>
          <w:rFonts w:hint="eastAsia" w:ascii="仿宋_GB2312" w:hAnsi="仿宋_GB2312" w:eastAsia="仿宋_GB2312" w:cs="仿宋_GB2312"/>
          <w:sz w:val="32"/>
          <w:szCs w:val="32"/>
          <w:lang w:val="en-US" w:eastAsia="zh-CN"/>
        </w:rPr>
        <w:t>做好项目建设全流程档案资料管理，将项目技术资料、竣工验收资料等分类存放，确保不遗失、不漏项，并注意留存项目建设期前、中、后期之间的照片、视频等各类影像资料。完善项目建设联农益农档案，确保项目建设成效。</w:t>
      </w:r>
    </w:p>
    <w:p>
      <w:pPr>
        <w:keepNext w:val="0"/>
        <w:keepLines w:val="0"/>
        <w:pageBreakBefore w:val="0"/>
        <w:widowControl w:val="0"/>
        <w:numPr>
          <w:ilvl w:val="0"/>
          <w:numId w:val="1"/>
        </w:numPr>
        <w:pBdr>
          <w:bottom w:val="single" w:color="FFFFFF" w:sz="4" w:space="31"/>
        </w:pBdr>
        <w:kinsoku/>
        <w:wordWrap/>
        <w:overflowPunct/>
        <w:topLinePunct w:val="0"/>
        <w:autoSpaceDE/>
        <w:autoSpaceDN/>
        <w:bidi w:val="0"/>
        <w:adjustRightInd w:val="0"/>
        <w:snapToGrid w:val="0"/>
        <w:spacing w:line="560" w:lineRule="exact"/>
        <w:ind w:left="0" w:leftChars="0" w:firstLine="640" w:firstLineChars="200"/>
        <w:jc w:val="left"/>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绩效目标</w:t>
      </w:r>
    </w:p>
    <w:p>
      <w:pPr>
        <w:pageBreakBefore w:val="0"/>
        <w:widowControl w:val="0"/>
        <w:numPr>
          <w:ilvl w:val="0"/>
          <w:numId w:val="7"/>
        </w:numPr>
        <w:pBdr>
          <w:bottom w:val="single" w:color="FFFFFF" w:sz="4" w:space="31"/>
        </w:pBdr>
        <w:kinsoku/>
        <w:wordWrap/>
        <w:overflowPunct/>
        <w:topLinePunct w:val="0"/>
        <w:autoSpaceDE/>
        <w:autoSpaceDN/>
        <w:bidi w:val="0"/>
        <w:adjustRightInd w:val="0"/>
        <w:snapToGrid w:val="0"/>
        <w:spacing w:line="560" w:lineRule="exact"/>
        <w:ind w:left="0" w:leftChars="0" w:firstLine="643" w:firstLineChars="200"/>
        <w:textAlignment w:val="baseline"/>
        <w:outlineLvl w:val="1"/>
        <w:rPr>
          <w:rFonts w:hint="eastAsia" w:ascii="仿宋" w:hAnsi="仿宋" w:eastAsia="仿宋" w:cs="仿宋"/>
          <w:b/>
          <w:bCs/>
          <w:sz w:val="32"/>
          <w:szCs w:val="32"/>
        </w:rPr>
      </w:pPr>
      <w:bookmarkStart w:id="5" w:name="_Toc397957514"/>
      <w:bookmarkStart w:id="6" w:name="_Toc4101"/>
      <w:bookmarkStart w:id="7" w:name="_Toc395077877"/>
      <w:r>
        <w:rPr>
          <w:rFonts w:hint="eastAsia" w:ascii="仿宋" w:hAnsi="仿宋" w:eastAsia="仿宋" w:cs="仿宋"/>
          <w:b/>
          <w:bCs/>
          <w:sz w:val="32"/>
          <w:szCs w:val="32"/>
        </w:rPr>
        <w:t>社会效益</w:t>
      </w:r>
      <w:bookmarkEnd w:id="5"/>
      <w:bookmarkEnd w:id="6"/>
      <w:bookmarkEnd w:id="7"/>
    </w:p>
    <w:p>
      <w:pPr>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0" w:firstLineChars="200"/>
        <w:textAlignment w:val="baseline"/>
        <w:rPr>
          <w:rFonts w:ascii="仿宋" w:hAnsi="仿宋" w:eastAsia="仿宋" w:cs="仿宋"/>
          <w:b/>
          <w:bCs/>
          <w:sz w:val="32"/>
          <w:szCs w:val="32"/>
        </w:rPr>
      </w:pPr>
      <w:r>
        <w:rPr>
          <w:rFonts w:hint="eastAsia" w:ascii="仿宋" w:hAnsi="仿宋" w:eastAsia="仿宋" w:cs="仿宋"/>
          <w:sz w:val="32"/>
          <w:szCs w:val="32"/>
        </w:rPr>
        <w:t>一是促进涉林企业、专业合作社和当地农民经济增收</w:t>
      </w:r>
      <w:r>
        <w:rPr>
          <w:rFonts w:hint="eastAsia" w:ascii="仿宋" w:hAnsi="仿宋" w:eastAsia="仿宋" w:cs="仿宋"/>
          <w:sz w:val="32"/>
          <w:szCs w:val="32"/>
          <w:lang w:eastAsia="zh-CN"/>
        </w:rPr>
        <w:t>，项目</w:t>
      </w:r>
      <w:r>
        <w:rPr>
          <w:rFonts w:hint="eastAsia" w:ascii="仿宋" w:hAnsi="仿宋" w:eastAsia="仿宋" w:cs="仿宋"/>
          <w:sz w:val="32"/>
          <w:szCs w:val="32"/>
        </w:rPr>
        <w:t>进入</w:t>
      </w:r>
      <w:r>
        <w:rPr>
          <w:rFonts w:hint="eastAsia" w:ascii="仿宋" w:hAnsi="仿宋" w:eastAsia="仿宋" w:cs="仿宋"/>
          <w:sz w:val="32"/>
          <w:szCs w:val="32"/>
          <w:lang w:eastAsia="zh-CN"/>
        </w:rPr>
        <w:t>丰</w:t>
      </w:r>
      <w:r>
        <w:rPr>
          <w:rFonts w:hint="eastAsia" w:ascii="仿宋" w:hAnsi="仿宋" w:eastAsia="仿宋" w:cs="仿宋"/>
          <w:sz w:val="32"/>
          <w:szCs w:val="32"/>
        </w:rPr>
        <w:t>产期后，每年可实现总经济收入</w:t>
      </w:r>
      <w:r>
        <w:rPr>
          <w:rFonts w:hint="eastAsia" w:ascii="仿宋" w:hAnsi="仿宋" w:eastAsia="仿宋" w:cs="仿宋"/>
          <w:sz w:val="32"/>
          <w:szCs w:val="32"/>
          <w:lang w:val="en-US" w:eastAsia="zh-CN"/>
        </w:rPr>
        <w:t>200余</w:t>
      </w:r>
      <w:r>
        <w:rPr>
          <w:rFonts w:hint="eastAsia" w:ascii="仿宋" w:hAnsi="仿宋" w:eastAsia="仿宋" w:cs="仿宋"/>
          <w:sz w:val="32"/>
          <w:szCs w:val="32"/>
        </w:rPr>
        <w:t>万元。</w:t>
      </w:r>
      <w:r>
        <w:rPr>
          <w:rFonts w:hint="eastAsia" w:ascii="仿宋" w:hAnsi="仿宋" w:eastAsia="仿宋" w:cs="仿宋"/>
          <w:sz w:val="32"/>
          <w:szCs w:val="32"/>
          <w:lang w:eastAsia="zh-CN"/>
        </w:rPr>
        <w:t>二</w:t>
      </w:r>
      <w:r>
        <w:rPr>
          <w:rFonts w:hint="eastAsia" w:ascii="仿宋" w:hAnsi="仿宋" w:eastAsia="仿宋" w:cs="仿宋"/>
          <w:sz w:val="32"/>
          <w:szCs w:val="32"/>
        </w:rPr>
        <w:t>是扩大就业渠道与容量，使当地部分农民由务农转变为产业工人；项目实施可带动</w:t>
      </w:r>
      <w:r>
        <w:rPr>
          <w:rFonts w:hint="eastAsia" w:ascii="仿宋" w:hAnsi="仿宋" w:eastAsia="仿宋" w:cs="仿宋"/>
          <w:sz w:val="32"/>
          <w:szCs w:val="32"/>
          <w:lang w:val="en-US" w:eastAsia="zh-CN"/>
        </w:rPr>
        <w:t>50余</w:t>
      </w:r>
      <w:r>
        <w:rPr>
          <w:rFonts w:hint="eastAsia" w:ascii="仿宋" w:hAnsi="仿宋" w:eastAsia="仿宋" w:cs="仿宋"/>
          <w:sz w:val="32"/>
          <w:szCs w:val="32"/>
        </w:rPr>
        <w:t>户当地群众增收，促进当地社会更加和谐与稳定。</w:t>
      </w:r>
      <w:r>
        <w:rPr>
          <w:rFonts w:hint="eastAsia" w:ascii="仿宋" w:hAnsi="仿宋" w:eastAsia="仿宋" w:cs="仿宋"/>
          <w:sz w:val="32"/>
          <w:szCs w:val="32"/>
          <w:lang w:eastAsia="zh-CN"/>
        </w:rPr>
        <w:t>三是</w:t>
      </w:r>
      <w:r>
        <w:rPr>
          <w:rFonts w:hint="eastAsia" w:ascii="仿宋" w:hAnsi="仿宋" w:eastAsia="仿宋" w:cs="仿宋"/>
          <w:sz w:val="32"/>
          <w:szCs w:val="32"/>
        </w:rPr>
        <w:t>通过林下种植可充分利用土地资源，增加绿地面积，可起到保护水土，涵养水源，增加森林的碳汇效能，提高空气质量，改善自然环境；</w:t>
      </w:r>
      <w:r>
        <w:rPr>
          <w:rFonts w:hint="eastAsia" w:ascii="仿宋" w:hAnsi="仿宋" w:eastAsia="仿宋" w:cs="仿宋"/>
          <w:sz w:val="32"/>
          <w:szCs w:val="32"/>
          <w:lang w:eastAsia="zh-CN"/>
        </w:rPr>
        <w:t>尤其是耕地非农化后，解决了林业产业发展和耕地保护之间的矛盾，最大限度的发挥了林地资源，提高了林地利用率</w:t>
      </w:r>
      <w:r>
        <w:rPr>
          <w:rFonts w:hint="eastAsia" w:ascii="仿宋" w:hAnsi="仿宋" w:eastAsia="仿宋" w:cs="仿宋"/>
          <w:sz w:val="32"/>
          <w:szCs w:val="32"/>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eastAsia="仿宋_GB2312"/>
          <w:sz w:val="32"/>
          <w:szCs w:val="32"/>
        </w:rPr>
      </w:pP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eastAsia="仿宋_GB2312"/>
          <w:sz w:val="32"/>
          <w:szCs w:val="32"/>
          <w:lang w:eastAsia="zh-CN"/>
        </w:rPr>
      </w:pPr>
      <w:r>
        <w:rPr>
          <w:rFonts w:hint="eastAsia" w:ascii="仿宋_GB2312" w:eastAsia="仿宋_GB2312"/>
          <w:sz w:val="32"/>
          <w:szCs w:val="32"/>
        </w:rPr>
        <w:t>附</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hAnsi="仿宋_GB2312" w:eastAsia="仿宋_GB2312" w:cs="仿宋_GB2312"/>
          <w:bCs/>
          <w:color w:val="auto"/>
          <w:sz w:val="32"/>
          <w:szCs w:val="32"/>
          <w:lang w:val="en-US" w:eastAsia="zh-CN"/>
        </w:rPr>
        <w:t>2024年</w:t>
      </w:r>
      <w:r>
        <w:rPr>
          <w:rFonts w:hint="eastAsia" w:ascii="仿宋" w:hAnsi="仿宋" w:eastAsia="仿宋" w:cs="仿宋"/>
          <w:sz w:val="32"/>
          <w:szCs w:val="32"/>
          <w:lang w:eastAsia="zh-CN"/>
        </w:rPr>
        <w:t>度</w:t>
      </w:r>
      <w:r>
        <w:rPr>
          <w:rFonts w:hint="eastAsia" w:ascii="仿宋" w:hAnsi="仿宋" w:eastAsia="仿宋" w:cs="仿宋"/>
          <w:sz w:val="32"/>
          <w:szCs w:val="32"/>
        </w:rPr>
        <w:t>林下经济补助</w:t>
      </w:r>
      <w:r>
        <w:rPr>
          <w:rFonts w:hint="eastAsia" w:ascii="仿宋_GB2312" w:hAnsi="仿宋_GB2312" w:eastAsia="仿宋_GB2312" w:cs="仿宋_GB2312"/>
          <w:bCs/>
          <w:color w:val="auto"/>
          <w:sz w:val="32"/>
          <w:szCs w:val="32"/>
          <w:lang w:val="en-US" w:eastAsia="zh-CN"/>
        </w:rPr>
        <w:t>项目</w:t>
      </w:r>
      <w:r>
        <w:rPr>
          <w:rFonts w:hint="eastAsia" w:ascii="仿宋_GB2312" w:eastAsia="仿宋_GB2312"/>
          <w:sz w:val="32"/>
          <w:szCs w:val="32"/>
          <w:lang w:eastAsia="zh-CN"/>
        </w:rPr>
        <w:t>计划表。</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1280" w:firstLineChars="400"/>
        <w:jc w:val="left"/>
        <w:textAlignment w:val="baseline"/>
        <w:rPr>
          <w:rFonts w:ascii="仿宋_GB2312" w:hAnsi="仿宋_GB2312" w:eastAsia="仿宋_GB2312" w:cs="仿宋_GB2312"/>
          <w:sz w:val="32"/>
          <w:szCs w:val="32"/>
        </w:rPr>
      </w:pPr>
      <w:r>
        <w:rPr>
          <w:rFonts w:hint="eastAsia" w:ascii="仿宋_GB2312" w:eastAsia="仿宋_GB2312"/>
          <w:sz w:val="32"/>
          <w:szCs w:val="32"/>
          <w:lang w:val="en-US" w:eastAsia="zh-CN"/>
        </w:rPr>
        <w:t>2、</w:t>
      </w:r>
      <w:r>
        <w:rPr>
          <w:rFonts w:hint="eastAsia" w:ascii="仿宋_GB2312" w:hAnsi="仿宋_GB2312" w:eastAsia="仿宋_GB2312" w:cs="仿宋_GB2312"/>
          <w:bCs/>
          <w:color w:val="auto"/>
          <w:sz w:val="32"/>
          <w:szCs w:val="32"/>
          <w:lang w:val="en-US" w:eastAsia="zh-CN"/>
        </w:rPr>
        <w:t>2024年</w:t>
      </w:r>
      <w:r>
        <w:rPr>
          <w:rFonts w:hint="eastAsia" w:ascii="仿宋" w:hAnsi="仿宋" w:eastAsia="仿宋" w:cs="仿宋"/>
          <w:sz w:val="32"/>
          <w:szCs w:val="32"/>
          <w:lang w:eastAsia="zh-CN"/>
        </w:rPr>
        <w:t>度</w:t>
      </w:r>
      <w:r>
        <w:rPr>
          <w:rFonts w:hint="eastAsia" w:ascii="仿宋" w:hAnsi="仿宋" w:eastAsia="仿宋" w:cs="仿宋"/>
          <w:sz w:val="32"/>
          <w:szCs w:val="32"/>
        </w:rPr>
        <w:t>林下经济补助项</w:t>
      </w:r>
      <w:r>
        <w:rPr>
          <w:rFonts w:hint="eastAsia" w:ascii="仿宋_GB2312" w:hAnsi="仿宋_GB2312" w:eastAsia="仿宋_GB2312" w:cs="仿宋_GB2312"/>
          <w:bCs/>
          <w:color w:val="auto"/>
          <w:sz w:val="32"/>
          <w:szCs w:val="32"/>
          <w:lang w:val="en-US" w:eastAsia="zh-CN"/>
        </w:rPr>
        <w:t>目</w:t>
      </w:r>
      <w:r>
        <w:rPr>
          <w:rFonts w:hint="eastAsia" w:ascii="仿宋_GB2312" w:eastAsia="仿宋_GB2312"/>
          <w:sz w:val="32"/>
          <w:szCs w:val="32"/>
          <w:lang w:val="en-US" w:eastAsia="zh-CN"/>
        </w:rPr>
        <w:t>绩效目标表</w:t>
      </w:r>
      <w:r>
        <w:rPr>
          <w:rFonts w:ascii="仿宋_GB2312" w:eastAsia="仿宋_GB2312"/>
          <w:sz w:val="32"/>
          <w:szCs w:val="32"/>
        </w:rPr>
        <w:t xml:space="preserve">    </w:t>
      </w:r>
    </w:p>
    <w:p>
      <w:pPr>
        <w:spacing w:line="520" w:lineRule="exact"/>
      </w:pPr>
    </w:p>
    <w:sectPr>
      <w:footerReference r:id="rId3" w:type="default"/>
      <w:pgSz w:w="11906" w:h="16838"/>
      <w:pgMar w:top="1440" w:right="1519"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33C0B4"/>
    <w:multiLevelType w:val="singleLevel"/>
    <w:tmpl w:val="9D33C0B4"/>
    <w:lvl w:ilvl="0" w:tentative="0">
      <w:start w:val="1"/>
      <w:numFmt w:val="decimal"/>
      <w:suff w:val="nothing"/>
      <w:lvlText w:val="%1、"/>
      <w:lvlJc w:val="left"/>
    </w:lvl>
  </w:abstractNum>
  <w:abstractNum w:abstractNumId="1">
    <w:nsid w:val="C55626E9"/>
    <w:multiLevelType w:val="singleLevel"/>
    <w:tmpl w:val="C55626E9"/>
    <w:lvl w:ilvl="0" w:tentative="0">
      <w:start w:val="1"/>
      <w:numFmt w:val="chineseCounting"/>
      <w:suff w:val="nothing"/>
      <w:lvlText w:val="（%1）"/>
      <w:lvlJc w:val="left"/>
      <w:rPr>
        <w:rFonts w:hint="eastAsia"/>
      </w:rPr>
    </w:lvl>
  </w:abstractNum>
  <w:abstractNum w:abstractNumId="2">
    <w:nsid w:val="E56B6B95"/>
    <w:multiLevelType w:val="singleLevel"/>
    <w:tmpl w:val="E56B6B95"/>
    <w:lvl w:ilvl="0" w:tentative="0">
      <w:start w:val="2"/>
      <w:numFmt w:val="chineseCounting"/>
      <w:suff w:val="nothing"/>
      <w:lvlText w:val="（%1）"/>
      <w:lvlJc w:val="left"/>
      <w:rPr>
        <w:rFonts w:hint="eastAsia"/>
      </w:rPr>
    </w:lvl>
  </w:abstractNum>
  <w:abstractNum w:abstractNumId="3">
    <w:nsid w:val="0BAC01F9"/>
    <w:multiLevelType w:val="singleLevel"/>
    <w:tmpl w:val="0BAC01F9"/>
    <w:lvl w:ilvl="0" w:tentative="0">
      <w:start w:val="1"/>
      <w:numFmt w:val="chineseCounting"/>
      <w:suff w:val="nothing"/>
      <w:lvlText w:val="（%1）"/>
      <w:lvlJc w:val="left"/>
      <w:rPr>
        <w:rFonts w:hint="eastAsia"/>
      </w:rPr>
    </w:lvl>
  </w:abstractNum>
  <w:abstractNum w:abstractNumId="4">
    <w:nsid w:val="13B6F0B9"/>
    <w:multiLevelType w:val="singleLevel"/>
    <w:tmpl w:val="13B6F0B9"/>
    <w:lvl w:ilvl="0" w:tentative="0">
      <w:start w:val="1"/>
      <w:numFmt w:val="chineseCounting"/>
      <w:suff w:val="nothing"/>
      <w:lvlText w:val="（%1）"/>
      <w:lvlJc w:val="left"/>
      <w:rPr>
        <w:rFonts w:hint="eastAsia"/>
      </w:rPr>
    </w:lvl>
  </w:abstractNum>
  <w:abstractNum w:abstractNumId="5">
    <w:nsid w:val="16040551"/>
    <w:multiLevelType w:val="singleLevel"/>
    <w:tmpl w:val="16040551"/>
    <w:lvl w:ilvl="0" w:tentative="0">
      <w:start w:val="4"/>
      <w:numFmt w:val="chineseCounting"/>
      <w:lvlText w:val="(%1)"/>
      <w:lvlJc w:val="left"/>
      <w:pPr>
        <w:tabs>
          <w:tab w:val="left" w:pos="312"/>
        </w:tabs>
      </w:pPr>
      <w:rPr>
        <w:rFonts w:hint="eastAsia"/>
      </w:rPr>
    </w:lvl>
  </w:abstractNum>
  <w:abstractNum w:abstractNumId="6">
    <w:nsid w:val="460426C5"/>
    <w:multiLevelType w:val="singleLevel"/>
    <w:tmpl w:val="460426C5"/>
    <w:lvl w:ilvl="0" w:tentative="0">
      <w:start w:val="4"/>
      <w:numFmt w:val="chineseCounting"/>
      <w:suff w:val="nothing"/>
      <w:lvlText w:val="%1、"/>
      <w:lvlJc w:val="left"/>
      <w:rPr>
        <w:rFonts w:hint="eastAsia" w:ascii="黑体" w:hAnsi="黑体" w:eastAsia="黑体" w:cs="黑体"/>
        <w:sz w:val="36"/>
        <w:szCs w:val="36"/>
      </w:rPr>
    </w:lvl>
  </w:abstractNum>
  <w:num w:numId="1">
    <w:abstractNumId w:val="6"/>
  </w:num>
  <w:num w:numId="2">
    <w:abstractNumId w:val="1"/>
  </w:num>
  <w:num w:numId="3">
    <w:abstractNumId w:val="0"/>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YyODQyNDM1MTNlY2M3N2FmN2MwOGM0NjlkZWQ3M2YifQ=="/>
  </w:docVars>
  <w:rsids>
    <w:rsidRoot w:val="00C650D3"/>
    <w:rsid w:val="001B4C43"/>
    <w:rsid w:val="001D0B60"/>
    <w:rsid w:val="002C59C4"/>
    <w:rsid w:val="002E0D06"/>
    <w:rsid w:val="00347306"/>
    <w:rsid w:val="00383720"/>
    <w:rsid w:val="00422BE3"/>
    <w:rsid w:val="004255C8"/>
    <w:rsid w:val="00557249"/>
    <w:rsid w:val="00596ED9"/>
    <w:rsid w:val="005A0071"/>
    <w:rsid w:val="005A09CA"/>
    <w:rsid w:val="006B1FC4"/>
    <w:rsid w:val="00701DF3"/>
    <w:rsid w:val="00775094"/>
    <w:rsid w:val="007D09ED"/>
    <w:rsid w:val="00825AA4"/>
    <w:rsid w:val="008F3616"/>
    <w:rsid w:val="009260DC"/>
    <w:rsid w:val="00946EF6"/>
    <w:rsid w:val="00A627FC"/>
    <w:rsid w:val="00AF27C7"/>
    <w:rsid w:val="00B402D4"/>
    <w:rsid w:val="00B45F18"/>
    <w:rsid w:val="00C650D3"/>
    <w:rsid w:val="00DC5000"/>
    <w:rsid w:val="00DD717F"/>
    <w:rsid w:val="00E02345"/>
    <w:rsid w:val="00E0444E"/>
    <w:rsid w:val="00E74E60"/>
    <w:rsid w:val="00EF6B53"/>
    <w:rsid w:val="00FA4D51"/>
    <w:rsid w:val="00FC12E1"/>
    <w:rsid w:val="00FF4B07"/>
    <w:rsid w:val="00FF5812"/>
    <w:rsid w:val="011911C5"/>
    <w:rsid w:val="022A20FF"/>
    <w:rsid w:val="02632EE5"/>
    <w:rsid w:val="043A7135"/>
    <w:rsid w:val="057A39C4"/>
    <w:rsid w:val="057C2EAF"/>
    <w:rsid w:val="07CB16FD"/>
    <w:rsid w:val="07F13103"/>
    <w:rsid w:val="088577C0"/>
    <w:rsid w:val="088E3B00"/>
    <w:rsid w:val="096B4234"/>
    <w:rsid w:val="0D0C3A95"/>
    <w:rsid w:val="0E136946"/>
    <w:rsid w:val="0E473CF3"/>
    <w:rsid w:val="0F3357F9"/>
    <w:rsid w:val="0F712206"/>
    <w:rsid w:val="107C3D30"/>
    <w:rsid w:val="11C046BE"/>
    <w:rsid w:val="138171B6"/>
    <w:rsid w:val="165B409F"/>
    <w:rsid w:val="168C385F"/>
    <w:rsid w:val="17974E98"/>
    <w:rsid w:val="18567E5D"/>
    <w:rsid w:val="19827847"/>
    <w:rsid w:val="19D232A8"/>
    <w:rsid w:val="1DF20A5F"/>
    <w:rsid w:val="1E7467F4"/>
    <w:rsid w:val="1EFA08BC"/>
    <w:rsid w:val="1F1C2436"/>
    <w:rsid w:val="1F756405"/>
    <w:rsid w:val="20436EE9"/>
    <w:rsid w:val="20F748E4"/>
    <w:rsid w:val="213F5880"/>
    <w:rsid w:val="23ED5659"/>
    <w:rsid w:val="240133B0"/>
    <w:rsid w:val="25F32C00"/>
    <w:rsid w:val="29F00A90"/>
    <w:rsid w:val="2A7127C3"/>
    <w:rsid w:val="2C057C63"/>
    <w:rsid w:val="2F7F5384"/>
    <w:rsid w:val="30A526CB"/>
    <w:rsid w:val="30BF4547"/>
    <w:rsid w:val="322E25AA"/>
    <w:rsid w:val="33545090"/>
    <w:rsid w:val="35F46F9E"/>
    <w:rsid w:val="364C20D6"/>
    <w:rsid w:val="37B46572"/>
    <w:rsid w:val="394E5AB3"/>
    <w:rsid w:val="39803FCB"/>
    <w:rsid w:val="3B2212FD"/>
    <w:rsid w:val="40C84FD5"/>
    <w:rsid w:val="41924FBB"/>
    <w:rsid w:val="43095DDC"/>
    <w:rsid w:val="44670D92"/>
    <w:rsid w:val="44703211"/>
    <w:rsid w:val="44B0240E"/>
    <w:rsid w:val="44D11DD5"/>
    <w:rsid w:val="470F0016"/>
    <w:rsid w:val="492B03C7"/>
    <w:rsid w:val="494E5BED"/>
    <w:rsid w:val="495D783F"/>
    <w:rsid w:val="49F47813"/>
    <w:rsid w:val="4CDB65A8"/>
    <w:rsid w:val="4D0F045D"/>
    <w:rsid w:val="4D3857A8"/>
    <w:rsid w:val="4E472EFD"/>
    <w:rsid w:val="4EB330D2"/>
    <w:rsid w:val="4F075411"/>
    <w:rsid w:val="50BF4F28"/>
    <w:rsid w:val="522C2866"/>
    <w:rsid w:val="54C035AE"/>
    <w:rsid w:val="551D3CAC"/>
    <w:rsid w:val="55380100"/>
    <w:rsid w:val="55855675"/>
    <w:rsid w:val="564A5AFD"/>
    <w:rsid w:val="5BBE4012"/>
    <w:rsid w:val="5DB33868"/>
    <w:rsid w:val="5EAC2C3C"/>
    <w:rsid w:val="61A870F9"/>
    <w:rsid w:val="62675A54"/>
    <w:rsid w:val="684419F9"/>
    <w:rsid w:val="6B0372FE"/>
    <w:rsid w:val="6B9B2D32"/>
    <w:rsid w:val="6D0522C3"/>
    <w:rsid w:val="6E831209"/>
    <w:rsid w:val="6EF524F6"/>
    <w:rsid w:val="6F094839"/>
    <w:rsid w:val="7053143D"/>
    <w:rsid w:val="7055204A"/>
    <w:rsid w:val="71A37FFC"/>
    <w:rsid w:val="730875DA"/>
    <w:rsid w:val="731E665A"/>
    <w:rsid w:val="74A52576"/>
    <w:rsid w:val="74AE7F7A"/>
    <w:rsid w:val="75234EC8"/>
    <w:rsid w:val="75B80340"/>
    <w:rsid w:val="761469C6"/>
    <w:rsid w:val="794C0506"/>
    <w:rsid w:val="79E703CA"/>
    <w:rsid w:val="7CB04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3"/>
    <w:basedOn w:val="1"/>
    <w:next w:val="3"/>
    <w:unhideWhenUsed/>
    <w:qFormat/>
    <w:uiPriority w:val="99"/>
    <w:pPr>
      <w:spacing w:before="100" w:beforeAutospacing="1" w:after="120"/>
    </w:pPr>
    <w:rPr>
      <w:sz w:val="16"/>
      <w:szCs w:val="16"/>
    </w:rPr>
  </w:style>
  <w:style w:type="paragraph" w:customStyle="1" w:styleId="3">
    <w:name w:val="Char1"/>
    <w:basedOn w:val="1"/>
    <w:qFormat/>
    <w:uiPriority w:val="0"/>
    <w:pPr>
      <w:tabs>
        <w:tab w:val="left" w:pos="840"/>
      </w:tabs>
      <w:ind w:left="840" w:hanging="420"/>
    </w:pPr>
    <w:rPr>
      <w:sz w:val="24"/>
      <w:szCs w:val="30"/>
    </w:rPr>
  </w:style>
  <w:style w:type="paragraph" w:styleId="4">
    <w:name w:val="Normal Indent"/>
    <w:basedOn w:val="1"/>
    <w:qFormat/>
    <w:uiPriority w:val="99"/>
    <w:pPr>
      <w:ind w:firstLine="200" w:firstLineChars="200"/>
    </w:pPr>
  </w:style>
  <w:style w:type="paragraph" w:styleId="5">
    <w:name w:val="index 6"/>
    <w:basedOn w:val="1"/>
    <w:next w:val="1"/>
    <w:semiHidden/>
    <w:qFormat/>
    <w:uiPriority w:val="99"/>
    <w:pPr>
      <w:ind w:left="1000" w:leftChars="100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page number"/>
    <w:basedOn w:val="9"/>
    <w:qFormat/>
    <w:uiPriority w:val="0"/>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3">
    <w:name w:val="页眉 Char"/>
    <w:basedOn w:val="9"/>
    <w:link w:val="7"/>
    <w:semiHidden/>
    <w:qFormat/>
    <w:uiPriority w:val="99"/>
    <w:rPr>
      <w:rFonts w:ascii="Calibri" w:hAnsi="Calibri" w:eastAsia="宋体" w:cs="Times New Roman"/>
      <w:sz w:val="18"/>
      <w:szCs w:val="18"/>
    </w:rPr>
  </w:style>
  <w:style w:type="character" w:customStyle="1" w:styleId="14">
    <w:name w:val="页脚 Char"/>
    <w:basedOn w:val="9"/>
    <w:link w:val="6"/>
    <w:semiHidden/>
    <w:qFormat/>
    <w:uiPriority w:val="99"/>
    <w:rPr>
      <w:rFonts w:ascii="Calibri" w:hAnsi="Calibri" w:eastAsia="宋体" w:cs="Times New Roman"/>
      <w:sz w:val="18"/>
      <w:szCs w:val="18"/>
    </w:rPr>
  </w:style>
  <w:style w:type="paragraph" w:customStyle="1" w:styleId="15">
    <w:name w:val="正文文本 (3)"/>
    <w:basedOn w:val="1"/>
    <w:semiHidden/>
    <w:qFormat/>
    <w:uiPriority w:val="0"/>
    <w:pPr>
      <w:widowControl/>
      <w:shd w:val="clear" w:color="auto" w:fill="FFFFFF"/>
      <w:spacing w:line="240" w:lineRule="atLeast"/>
      <w:ind w:left="2240" w:hanging="2240"/>
      <w:jc w:val="left"/>
    </w:pPr>
    <w:rPr>
      <w:rFonts w:ascii="MingLiU" w:hAnsi="宋体" w:eastAsia="MingLiU" w:cs="宋体"/>
      <w:b/>
      <w:color w:val="000000"/>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52BDC5-683D-47AB-AA90-093FE238E4F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3143</Words>
  <Characters>3236</Characters>
  <Lines>21</Lines>
  <Paragraphs>6</Paragraphs>
  <TotalTime>8</TotalTime>
  <ScaleCrop>false</ScaleCrop>
  <LinksUpToDate>false</LinksUpToDate>
  <CharactersWithSpaces>3479</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2020-11-05T12:14:00Z</dcterms:created>
  <dc:creator>微软用户</dc:creator>
  <cp:lastModifiedBy>思...静</cp:lastModifiedBy>
  <cp:lastPrinted>2024-07-03T02:26:00Z</cp:lastPrinted>
  <dcterms:modified xsi:type="dcterms:W3CDTF">2024-07-03T07:45:45Z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A23329ADE3AC4C91A819790BFA6F1B24</vt:lpwstr>
  </property>
</Properties>
</file>