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bookmarkStart w:id="0" w:name="_GoBack"/>
      <w:bookmarkEnd w:id="0"/>
      <w:r>
        <w:rPr>
          <w:rFonts w:hint="eastAsia" w:ascii="黑体" w:hAnsi="黑体" w:eastAsia="黑体"/>
          <w:sz w:val="44"/>
          <w:szCs w:val="44"/>
        </w:rPr>
        <w:t>白河县绿松石资源管理办法(试行)</w:t>
      </w:r>
    </w:p>
    <w:p>
      <w:pPr>
        <w:jc w:val="center"/>
        <w:rPr>
          <w:rFonts w:ascii="仿宋" w:hAnsi="仿宋" w:eastAsia="仿宋"/>
          <w:sz w:val="32"/>
          <w:szCs w:val="32"/>
        </w:rPr>
      </w:pPr>
      <w:r>
        <w:rPr>
          <w:rFonts w:hint="eastAsia" w:ascii="仿宋" w:hAnsi="仿宋" w:eastAsia="仿宋"/>
          <w:sz w:val="32"/>
          <w:szCs w:val="32"/>
        </w:rPr>
        <w:t>（征求意见稿）</w:t>
      </w:r>
    </w:p>
    <w:p>
      <w:pPr>
        <w:spacing w:beforeLines="100" w:afterLines="100"/>
        <w:jc w:val="center"/>
        <w:rPr>
          <w:rFonts w:ascii="仿宋" w:hAnsi="仿宋" w:eastAsia="仿宋"/>
          <w:b/>
          <w:sz w:val="36"/>
          <w:szCs w:val="36"/>
        </w:rPr>
      </w:pPr>
      <w:r>
        <w:rPr>
          <w:rFonts w:hint="eastAsia" w:ascii="仿宋" w:hAnsi="仿宋" w:eastAsia="仿宋"/>
          <w:b/>
          <w:sz w:val="36"/>
          <w:szCs w:val="36"/>
        </w:rPr>
        <w:t>第一章 总 则</w:t>
      </w:r>
    </w:p>
    <w:p>
      <w:pPr>
        <w:ind w:firstLine="628" w:firstLineChars="200"/>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为加强绿松石资源的保护、开发、经营、管理，促进全县绿松石行业健康、有序、协调、可持续发展，根据《中华人民共和国矿产资源法》《中华人民共和国环境保护法》《</w:t>
      </w:r>
      <w:r>
        <w:rPr>
          <w:rFonts w:hint="eastAsia" w:ascii="仿宋" w:hAnsi="仿宋" w:eastAsia="仿宋"/>
          <w:color w:val="333333"/>
          <w:sz w:val="32"/>
          <w:szCs w:val="32"/>
          <w:shd w:val="clear" w:color="auto" w:fill="FFFFFF"/>
        </w:rPr>
        <w:t>中华人民共和国安全生产法</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《中华人民共和国资源税法》</w:t>
      </w:r>
      <w:r>
        <w:rPr>
          <w:rFonts w:hint="eastAsia" w:ascii="仿宋" w:hAnsi="仿宋" w:eastAsia="仿宋"/>
          <w:sz w:val="32"/>
          <w:szCs w:val="32"/>
        </w:rPr>
        <w:t>《陕西省矿产资源管理条例》等相关法律法规，结合本县实际，制定本办法。</w:t>
      </w:r>
    </w:p>
    <w:p>
      <w:pPr>
        <w:ind w:firstLine="628" w:firstLineChars="200"/>
        <w:rPr>
          <w:rFonts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本办法适用于本县行政区域内从事绿松石资源勘查、开采、加工、运输、销售、经营的单位和个人。</w:t>
      </w:r>
    </w:p>
    <w:p>
      <w:pPr>
        <w:ind w:firstLine="628" w:firstLineChars="200"/>
        <w:rPr>
          <w:rFonts w:ascii="仿宋" w:hAnsi="仿宋" w:eastAsia="仿宋"/>
          <w:sz w:val="32"/>
          <w:szCs w:val="32"/>
        </w:rPr>
      </w:pPr>
      <w:r>
        <w:rPr>
          <w:rFonts w:hint="eastAsia" w:ascii="仿宋" w:hAnsi="仿宋" w:eastAsia="仿宋"/>
          <w:sz w:val="32"/>
          <w:szCs w:val="32"/>
        </w:rPr>
        <w:t>本办法所称绿松石，</w:t>
      </w:r>
      <w:r>
        <w:rPr>
          <w:rFonts w:hint="eastAsia" w:ascii="仿宋" w:hAnsi="仿宋" w:eastAsia="仿宋"/>
          <w:color w:val="000000" w:themeColor="text1"/>
          <w:sz w:val="32"/>
          <w:szCs w:val="32"/>
          <w14:textFill>
            <w14:solidFill>
              <w14:schemeClr w14:val="tx1"/>
            </w14:solidFill>
          </w14:textFill>
        </w:rPr>
        <w:t>属宝玉石矿产，</w:t>
      </w:r>
      <w:r>
        <w:rPr>
          <w:rFonts w:hint="eastAsia" w:ascii="仿宋" w:hAnsi="仿宋" w:eastAsia="仿宋"/>
          <w:sz w:val="32"/>
          <w:szCs w:val="32"/>
        </w:rPr>
        <w:t>是指一种含水铜铝磷酸盐的隐晶质矿物集合体，是储藏于本县辖区的绿松石原矿和伴生矿及其产成品。</w:t>
      </w:r>
    </w:p>
    <w:p>
      <w:pPr>
        <w:ind w:firstLine="628" w:firstLineChars="200"/>
        <w:rPr>
          <w:rFonts w:ascii="仿宋" w:hAnsi="仿宋" w:eastAsia="仿宋"/>
          <w:sz w:val="32"/>
          <w:szCs w:val="32"/>
        </w:rPr>
      </w:pPr>
      <w:r>
        <w:rPr>
          <w:rFonts w:hint="eastAsia" w:ascii="仿宋" w:hAnsi="仿宋" w:eastAsia="仿宋"/>
          <w:b/>
          <w:sz w:val="32"/>
          <w:szCs w:val="32"/>
        </w:rPr>
        <w:t xml:space="preserve">第三条 </w:t>
      </w:r>
      <w:r>
        <w:rPr>
          <w:rFonts w:hint="eastAsia" w:ascii="仿宋" w:hAnsi="仿宋" w:eastAsia="仿宋"/>
          <w:sz w:val="32"/>
          <w:szCs w:val="32"/>
        </w:rPr>
        <w:t>绿松石资源保护与利用应当遵循保护优先、科学规划、绿色发展、严格管理的原则。</w:t>
      </w:r>
    </w:p>
    <w:p>
      <w:pPr>
        <w:ind w:firstLine="628" w:firstLineChars="200"/>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绿松石资源属于国家所有，不因其所依附的土地所有权或使用权不同而改变。</w:t>
      </w:r>
    </w:p>
    <w:p>
      <w:pPr>
        <w:ind w:firstLine="628" w:firstLineChars="200"/>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成立县绿松石产业开发工作领导小组,负责全县绿松石产业开发的综合协调、管理、督查工作。</w:t>
      </w:r>
      <w:r>
        <w:rPr>
          <w:rFonts w:hint="eastAsia" w:ascii="仿宋" w:hAnsi="仿宋" w:eastAsia="仿宋"/>
          <w:color w:val="333333"/>
          <w:sz w:val="32"/>
          <w:szCs w:val="32"/>
          <w:shd w:val="clear" w:color="auto" w:fill="FFFFFF"/>
        </w:rPr>
        <w:t>县人民政府有关部门按照各自职责积极做好绿松石资源的保护、开发、利用和行业监督管理工作。</w:t>
      </w:r>
    </w:p>
    <w:p>
      <w:pPr>
        <w:ind w:firstLine="628" w:firstLineChars="200"/>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成立白河县绿松石行业协会（以下简称协会），作</w:t>
      </w:r>
      <w:r>
        <w:rPr>
          <w:rFonts w:hint="eastAsia" w:ascii="仿宋" w:hAnsi="仿宋" w:eastAsia="仿宋"/>
          <w:color w:val="000000" w:themeColor="text1"/>
          <w:sz w:val="32"/>
          <w:szCs w:val="32"/>
          <w:shd w:val="clear" w:color="auto" w:fill="FFFFFF"/>
          <w14:textFill>
            <w14:solidFill>
              <w14:schemeClr w14:val="tx1"/>
            </w14:solidFill>
          </w14:textFill>
        </w:rPr>
        <w:t>为绿松石产业市场开发建设牵头抓总的责任单位，负责绿松石产业市场发展的综合协调和管理工作。</w:t>
      </w:r>
    </w:p>
    <w:p>
      <w:pPr>
        <w:spacing w:beforeLines="100" w:afterLines="100"/>
        <w:jc w:val="center"/>
        <w:rPr>
          <w:rFonts w:ascii="仿宋" w:hAnsi="仿宋" w:eastAsia="仿宋"/>
          <w:sz w:val="36"/>
          <w:szCs w:val="36"/>
        </w:rPr>
      </w:pPr>
      <w:r>
        <w:rPr>
          <w:rFonts w:hint="eastAsia" w:ascii="仿宋" w:hAnsi="仿宋" w:eastAsia="仿宋"/>
          <w:b/>
          <w:sz w:val="36"/>
          <w:szCs w:val="36"/>
        </w:rPr>
        <w:t>第二章 绿松石矿山开采及资源管理</w:t>
      </w:r>
    </w:p>
    <w:p>
      <w:pPr>
        <w:ind w:firstLine="628" w:firstLineChars="200"/>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绿松石资源是稀缺性国有资源，不得随意开采，应遵循政府统一管理，科学配置矿权，</w:t>
      </w:r>
      <w:r>
        <w:rPr>
          <w:rFonts w:hint="eastAsia" w:ascii="仿宋" w:hAnsi="仿宋" w:eastAsia="仿宋"/>
          <w:color w:val="333333"/>
          <w:sz w:val="32"/>
          <w:szCs w:val="32"/>
          <w:shd w:val="clear" w:color="auto" w:fill="FFFFFF"/>
        </w:rPr>
        <w:t>依法获得白河县境内绿松石探矿权、采矿权企业是唯一合法的探矿采矿企业，其他任何单位和个人不得在白河县境内违法从事绿松石探矿或采矿活动。</w:t>
      </w:r>
    </w:p>
    <w:p>
      <w:pPr>
        <w:ind w:firstLine="628"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自然资源部门依法对绿松石资源保护与利用工作实施监督管理，开展绿松石资源地质勘查与开采状况调查，落实矿山企业履行矿山地质环境保护与土地复垦义务，配合开展矿业权人勘查开采信息公示工作，依法查处破坏绿松石资源的违法行为。</w:t>
      </w:r>
    </w:p>
    <w:p>
      <w:pPr>
        <w:ind w:firstLine="628" w:firstLineChars="200"/>
        <w:rPr>
          <w:rFonts w:ascii="仿宋" w:hAnsi="仿宋" w:eastAsia="仿宋"/>
          <w:sz w:val="32"/>
          <w:szCs w:val="32"/>
        </w:rPr>
      </w:pPr>
      <w:r>
        <w:rPr>
          <w:rFonts w:hint="eastAsia" w:ascii="仿宋" w:hAnsi="仿宋" w:eastAsia="仿宋"/>
          <w:sz w:val="32"/>
          <w:szCs w:val="32"/>
        </w:rPr>
        <w:t>应急管理部门负责绿松石矿山企业的矿井、弃渣场等场所的安全生产监管，依法查处违反安全生产法律法规的行为。</w:t>
      </w:r>
    </w:p>
    <w:p>
      <w:pPr>
        <w:ind w:firstLine="628" w:firstLineChars="200"/>
        <w:rPr>
          <w:rFonts w:ascii="仿宋" w:hAnsi="仿宋" w:eastAsia="仿宋"/>
          <w:sz w:val="32"/>
          <w:szCs w:val="32"/>
        </w:rPr>
      </w:pPr>
      <w:r>
        <w:rPr>
          <w:rFonts w:hint="eastAsia" w:ascii="仿宋" w:hAnsi="仿宋" w:eastAsia="仿宋"/>
          <w:sz w:val="32"/>
          <w:szCs w:val="32"/>
        </w:rPr>
        <w:t>生态环境部门负责绿松石资源开采、加工等场所的环境监管，依法查处环境违法行为。</w:t>
      </w:r>
    </w:p>
    <w:p>
      <w:pPr>
        <w:ind w:firstLine="628" w:firstLineChars="200"/>
        <w:rPr>
          <w:rFonts w:ascii="仿宋" w:hAnsi="仿宋" w:eastAsia="仿宋"/>
          <w:sz w:val="32"/>
          <w:szCs w:val="32"/>
        </w:rPr>
      </w:pPr>
      <w:r>
        <w:rPr>
          <w:rFonts w:hint="eastAsia" w:ascii="仿宋" w:hAnsi="仿宋" w:eastAsia="仿宋"/>
          <w:sz w:val="32"/>
          <w:szCs w:val="32"/>
        </w:rPr>
        <w:t>林业部门负责绿松石矿山开采使用林地监管，依法查处超范围占用林地行为。</w:t>
      </w:r>
    </w:p>
    <w:p>
      <w:pPr>
        <w:ind w:firstLine="628" w:firstLineChars="200"/>
        <w:rPr>
          <w:rFonts w:ascii="仿宋" w:hAnsi="仿宋" w:eastAsia="仿宋"/>
          <w:sz w:val="32"/>
          <w:szCs w:val="32"/>
        </w:rPr>
      </w:pPr>
      <w:r>
        <w:rPr>
          <w:rFonts w:hint="eastAsia" w:ascii="仿宋" w:hAnsi="仿宋" w:eastAsia="仿宋"/>
          <w:sz w:val="32"/>
          <w:szCs w:val="32"/>
        </w:rPr>
        <w:t>水利部门负责绿松石矿山、建设项目水土保持监督，依法查处违法行为。</w:t>
      </w:r>
    </w:p>
    <w:p>
      <w:pPr>
        <w:ind w:firstLine="628" w:firstLineChars="200"/>
        <w:rPr>
          <w:rFonts w:ascii="仿宋" w:hAnsi="仿宋" w:eastAsia="仿宋"/>
          <w:sz w:val="32"/>
          <w:szCs w:val="32"/>
        </w:rPr>
      </w:pPr>
      <w:r>
        <w:rPr>
          <w:rFonts w:hint="eastAsia" w:ascii="仿宋" w:hAnsi="仿宋" w:eastAsia="仿宋"/>
          <w:sz w:val="32"/>
          <w:szCs w:val="32"/>
        </w:rPr>
        <w:t>公安机关依法对绿松石爆破作业进行监管，对盗挖、哄抢绿松石的违法行为进行现场制止、调查取证，对违法行为进行依法打击。</w:t>
      </w:r>
    </w:p>
    <w:p>
      <w:pPr>
        <w:ind w:firstLine="628" w:firstLineChars="200"/>
        <w:rPr>
          <w:rFonts w:ascii="仿宋" w:hAnsi="仿宋" w:eastAsia="仿宋"/>
          <w:sz w:val="32"/>
          <w:szCs w:val="32"/>
        </w:rPr>
      </w:pPr>
      <w:r>
        <w:rPr>
          <w:rFonts w:hint="eastAsia" w:ascii="仿宋" w:hAnsi="仿宋" w:eastAsia="仿宋"/>
          <w:sz w:val="32"/>
          <w:szCs w:val="32"/>
        </w:rPr>
        <w:t>市场监督管理部门负责绿松石原矿、产品市场交易监管及绿松石产品注册商标等各类知识产权的申请和保护工作。</w:t>
      </w:r>
    </w:p>
    <w:p>
      <w:pPr>
        <w:ind w:firstLine="628" w:firstLineChars="200"/>
        <w:rPr>
          <w:rFonts w:ascii="仿宋" w:hAnsi="仿宋" w:eastAsia="仿宋"/>
          <w:sz w:val="32"/>
          <w:szCs w:val="32"/>
        </w:rPr>
      </w:pPr>
      <w:r>
        <w:rPr>
          <w:rFonts w:hint="eastAsia" w:ascii="仿宋" w:hAnsi="仿宋" w:eastAsia="仿宋"/>
          <w:sz w:val="32"/>
          <w:szCs w:val="32"/>
        </w:rPr>
        <w:t>发改部门负责绿松石矿产资源开发利用项目核准备案。</w:t>
      </w:r>
    </w:p>
    <w:p>
      <w:pPr>
        <w:ind w:firstLine="628" w:firstLineChars="200"/>
        <w:rPr>
          <w:rFonts w:ascii="仿宋" w:hAnsi="仿宋" w:eastAsia="仿宋"/>
          <w:sz w:val="32"/>
          <w:szCs w:val="32"/>
        </w:rPr>
      </w:pPr>
      <w:r>
        <w:rPr>
          <w:rFonts w:hint="eastAsia" w:ascii="仿宋" w:hAnsi="仿宋" w:eastAsia="仿宋"/>
          <w:sz w:val="32"/>
          <w:szCs w:val="32"/>
        </w:rPr>
        <w:t>经贸部门负责绿松石文化产业园建设，制定相关管理办法和配套政策。</w:t>
      </w:r>
    </w:p>
    <w:p>
      <w:pPr>
        <w:ind w:firstLine="628" w:firstLineChars="200"/>
        <w:rPr>
          <w:rFonts w:ascii="仿宋" w:hAnsi="仿宋" w:eastAsia="仿宋"/>
          <w:sz w:val="32"/>
          <w:szCs w:val="32"/>
        </w:rPr>
      </w:pPr>
      <w:r>
        <w:rPr>
          <w:rFonts w:hint="eastAsia" w:ascii="仿宋" w:hAnsi="仿宋" w:eastAsia="仿宋" w:cs="仿宋_GB2312"/>
          <w:sz w:val="32"/>
          <w:szCs w:val="32"/>
        </w:rPr>
        <w:t>税务部门负责矿山企业税费征收管理及税费优惠政策的落实。</w:t>
      </w:r>
    </w:p>
    <w:p>
      <w:pPr>
        <w:ind w:firstLine="628" w:firstLineChars="200"/>
        <w:rPr>
          <w:rFonts w:ascii="仿宋" w:hAnsi="仿宋" w:eastAsia="仿宋"/>
          <w:sz w:val="32"/>
          <w:szCs w:val="32"/>
        </w:rPr>
      </w:pPr>
      <w:r>
        <w:rPr>
          <w:rFonts w:hint="eastAsia" w:ascii="仿宋" w:hAnsi="仿宋" w:eastAsia="仿宋"/>
          <w:sz w:val="32"/>
          <w:szCs w:val="32"/>
        </w:rPr>
        <w:t>财政部门负责落实绿松石资源保护、开发、利用与监管工作经费。</w:t>
      </w:r>
    </w:p>
    <w:p>
      <w:pPr>
        <w:ind w:firstLine="628" w:firstLineChars="200"/>
        <w:rPr>
          <w:rFonts w:ascii="仿宋" w:hAnsi="仿宋" w:eastAsia="仿宋"/>
          <w:sz w:val="32"/>
          <w:szCs w:val="32"/>
        </w:rPr>
      </w:pPr>
      <w:r>
        <w:rPr>
          <w:rFonts w:hint="eastAsia" w:ascii="仿宋" w:hAnsi="仿宋" w:eastAsia="仿宋"/>
          <w:sz w:val="32"/>
          <w:szCs w:val="32"/>
        </w:rPr>
        <w:t>农业农村部门负责被破坏耕地地力恢复、受污染耕地治理技术指导工作。</w:t>
      </w:r>
    </w:p>
    <w:p>
      <w:pPr>
        <w:ind w:firstLine="628" w:firstLineChars="200"/>
        <w:rPr>
          <w:rFonts w:ascii="仿宋" w:hAnsi="仿宋" w:eastAsia="仿宋"/>
          <w:sz w:val="32"/>
          <w:szCs w:val="32"/>
        </w:rPr>
      </w:pPr>
      <w:r>
        <w:rPr>
          <w:rFonts w:hint="eastAsia" w:ascii="仿宋" w:hAnsi="仿宋" w:eastAsia="仿宋"/>
          <w:sz w:val="32"/>
          <w:szCs w:val="32"/>
        </w:rPr>
        <w:t>民政部门负责绿松石行业协会的日常监管、年度检查、分类评估和执法监督有关工作。</w:t>
      </w:r>
    </w:p>
    <w:p>
      <w:pPr>
        <w:ind w:firstLine="628" w:firstLineChars="20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电力部门</w:t>
      </w:r>
      <w:r>
        <w:rPr>
          <w:rFonts w:hint="eastAsia" w:ascii="仿宋" w:hAnsi="仿宋" w:eastAsia="仿宋" w:cs="仿宋_GB2312"/>
          <w:sz w:val="32"/>
          <w:szCs w:val="32"/>
        </w:rPr>
        <w:t>负责对矿山电力供应的监督管理，要按照持有采矿许可证和勘查许可证的矿山企业进行电力供应，并及时查处向无证矿山非法转供电行为，对未持采矿许可证和勘查许可证的开采企业不得供电；强化矿山企业电力供应监管，</w:t>
      </w:r>
      <w:r>
        <w:rPr>
          <w:rFonts w:hint="eastAsia" w:ascii="仿宋" w:hAnsi="仿宋" w:eastAsia="仿宋"/>
          <w:color w:val="333333"/>
          <w:sz w:val="32"/>
          <w:szCs w:val="32"/>
          <w:shd w:val="clear" w:color="auto" w:fill="FFFFFF"/>
        </w:rPr>
        <w:t>对企业生产、生活、安全设施、环境监测设备等用电实行分户设置，依法打击将居民用电用于矿山采矿、非法采矿等违法行为，</w:t>
      </w:r>
      <w:r>
        <w:rPr>
          <w:rFonts w:hint="eastAsia" w:ascii="仿宋" w:hAnsi="仿宋" w:eastAsia="仿宋" w:cs="仿宋_GB2312"/>
          <w:sz w:val="32"/>
          <w:szCs w:val="32"/>
        </w:rPr>
        <w:t>不得向相关部门和镇政府采取断电措施的矿山恢复供电。</w:t>
      </w:r>
    </w:p>
    <w:p>
      <w:pPr>
        <w:ind w:firstLine="628" w:firstLineChars="20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监察机关负责绿松石矿山监管过程中国家工作人员违纪违法案件的查处。</w:t>
      </w:r>
    </w:p>
    <w:p>
      <w:pPr>
        <w:ind w:firstLine="628" w:firstLineChars="20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各镇人民政府按照属地管理原则，做好绿松石矿山安全生产、生态环境、信访矛盾调解等方面的工作，积极配合执法部门依法严厉打击盗采、盗运、盗卖绿松石矿产资源的一切违法行为。</w:t>
      </w:r>
    </w:p>
    <w:p>
      <w:pPr>
        <w:ind w:firstLine="628" w:firstLineChars="200"/>
        <w:rPr>
          <w:rFonts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xml:space="preserve"> 开采绿松石资源应当符合下列规定：</w:t>
      </w:r>
    </w:p>
    <w:p>
      <w:pPr>
        <w:ind w:firstLine="628" w:firstLineChars="200"/>
        <w:rPr>
          <w:rFonts w:ascii="仿宋" w:hAnsi="仿宋" w:eastAsia="仿宋"/>
          <w:sz w:val="32"/>
          <w:szCs w:val="32"/>
        </w:rPr>
      </w:pPr>
      <w:r>
        <w:rPr>
          <w:rFonts w:hint="eastAsia" w:ascii="仿宋" w:hAnsi="仿宋" w:eastAsia="仿宋"/>
          <w:sz w:val="32"/>
          <w:szCs w:val="32"/>
        </w:rPr>
        <w:t>（一）依法取得采矿许可证、安全生产许可证及环境影响评价手续；</w:t>
      </w:r>
    </w:p>
    <w:p>
      <w:pPr>
        <w:ind w:firstLine="628" w:firstLineChars="200"/>
        <w:rPr>
          <w:rFonts w:ascii="仿宋" w:hAnsi="仿宋" w:eastAsia="仿宋"/>
          <w:sz w:val="32"/>
          <w:szCs w:val="32"/>
        </w:rPr>
      </w:pPr>
      <w:r>
        <w:rPr>
          <w:rFonts w:hint="eastAsia" w:ascii="仿宋" w:hAnsi="仿宋" w:eastAsia="仿宋"/>
          <w:sz w:val="32"/>
          <w:szCs w:val="32"/>
        </w:rPr>
        <w:t>（二）开采行为、作业环境、安全生产设施设计、应急预案、水土保持方案等应当符合相关法律法规的规定和安全生产要求，建设项目中防治污染的设施、安全设施必须与主体工程同时设计、同时施工、同时投产使用；</w:t>
      </w:r>
    </w:p>
    <w:p>
      <w:pPr>
        <w:ind w:firstLine="628" w:firstLineChars="200"/>
        <w:rPr>
          <w:rFonts w:ascii="仿宋" w:hAnsi="仿宋" w:eastAsia="仿宋"/>
          <w:sz w:val="32"/>
          <w:szCs w:val="32"/>
        </w:rPr>
      </w:pPr>
      <w:r>
        <w:rPr>
          <w:rFonts w:hint="eastAsia" w:ascii="仿宋" w:hAnsi="仿宋" w:eastAsia="仿宋"/>
          <w:sz w:val="32"/>
          <w:szCs w:val="32"/>
        </w:rPr>
        <w:t>（三）采取科学合理的开采顺序、开采方法和选矿工艺，开采回采率、选矿回收率、综合利用率应当达到矿山设计要求；</w:t>
      </w:r>
    </w:p>
    <w:p>
      <w:pPr>
        <w:ind w:firstLine="628" w:firstLineChars="200"/>
        <w:rPr>
          <w:rFonts w:ascii="仿宋" w:hAnsi="仿宋" w:eastAsia="仿宋"/>
          <w:sz w:val="32"/>
          <w:szCs w:val="32"/>
        </w:rPr>
      </w:pPr>
      <w:r>
        <w:rPr>
          <w:rFonts w:hint="eastAsia" w:ascii="仿宋" w:hAnsi="仿宋" w:eastAsia="仿宋"/>
          <w:sz w:val="32"/>
          <w:szCs w:val="32"/>
        </w:rPr>
        <w:t>（四）设置专用贮存场所集中收集、统一处置处理矿渣、废石等固体废物，采取防护性措施收集和处理产生的废水，防止土壤及地表水、地下水污染；</w:t>
      </w:r>
    </w:p>
    <w:p>
      <w:pPr>
        <w:ind w:firstLine="628" w:firstLineChars="200"/>
        <w:rPr>
          <w:rFonts w:ascii="仿宋" w:hAnsi="仿宋" w:eastAsia="仿宋"/>
          <w:sz w:val="32"/>
          <w:szCs w:val="32"/>
        </w:rPr>
      </w:pPr>
      <w:r>
        <w:rPr>
          <w:rFonts w:hint="eastAsia" w:ascii="仿宋" w:hAnsi="仿宋" w:eastAsia="仿宋"/>
          <w:sz w:val="32"/>
          <w:szCs w:val="32"/>
        </w:rPr>
        <w:t>（五）在采矿许可证规定的期限内开采或者依法办理延续登记手续；</w:t>
      </w:r>
    </w:p>
    <w:p>
      <w:pPr>
        <w:ind w:firstLine="628" w:firstLineChars="200"/>
        <w:rPr>
          <w:rFonts w:ascii="仿宋" w:hAnsi="仿宋" w:eastAsia="仿宋"/>
          <w:sz w:val="32"/>
          <w:szCs w:val="32"/>
        </w:rPr>
      </w:pPr>
      <w:r>
        <w:rPr>
          <w:rFonts w:hint="eastAsia" w:ascii="仿宋" w:hAnsi="仿宋" w:eastAsia="仿宋"/>
          <w:sz w:val="32"/>
          <w:szCs w:val="32"/>
        </w:rPr>
        <w:t>（六）建立采矿工程、安全工程、开采回采率、选矿回收率、综合利用率、矿产品生产与销售、生态环境恢复等台账，配合政府有关部门监管；</w:t>
      </w:r>
    </w:p>
    <w:p>
      <w:pPr>
        <w:ind w:firstLine="628"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（七）依照有关规定计提矿山地质环境治理恢复与土地复垦基金，统筹开展矿山地质环境保护恢复和土地复垦；</w:t>
      </w:r>
    </w:p>
    <w:p>
      <w:pPr>
        <w:ind w:firstLine="628" w:firstLineChars="200"/>
        <w:rPr>
          <w:rFonts w:ascii="仿宋" w:hAnsi="仿宋" w:eastAsia="仿宋"/>
          <w:sz w:val="32"/>
          <w:szCs w:val="32"/>
        </w:rPr>
      </w:pPr>
      <w:r>
        <w:rPr>
          <w:rFonts w:hint="eastAsia" w:ascii="仿宋" w:hAnsi="仿宋" w:eastAsia="仿宋"/>
          <w:sz w:val="32"/>
          <w:szCs w:val="32"/>
        </w:rPr>
        <w:t>（八）法律法规的其他相关规定。</w:t>
      </w:r>
    </w:p>
    <w:p>
      <w:pPr>
        <w:ind w:firstLine="628" w:firstLineChars="200"/>
        <w:rPr>
          <w:rFonts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绿松石采矿权人应当承担资源管护、环境保护、安全生产、水土保持、矿山地质灾害防治和矿山生态环境治理恢复的直接责任，采取有效措施降低矿渣、废石、粉尘、废水等废弃物和污染物的产生量、排放量、贮存量，自行或者聘请有资质的机构对废弃物和污染物进行检验检测及无害化处理，对具有工业价值的共生、伴生矿产进行综合回收。</w:t>
      </w:r>
    </w:p>
    <w:p>
      <w:pPr>
        <w:ind w:firstLine="628" w:firstLineChars="200"/>
        <w:rPr>
          <w:rFonts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禁止绿松石采矿权人实施以下行为：</w:t>
      </w:r>
    </w:p>
    <w:p>
      <w:pPr>
        <w:ind w:firstLine="628" w:firstLineChars="200"/>
        <w:rPr>
          <w:rFonts w:ascii="仿宋" w:hAnsi="仿宋" w:eastAsia="仿宋"/>
          <w:sz w:val="32"/>
          <w:szCs w:val="32"/>
        </w:rPr>
      </w:pPr>
      <w:r>
        <w:rPr>
          <w:rFonts w:hint="eastAsia" w:ascii="仿宋" w:hAnsi="仿宋" w:eastAsia="仿宋"/>
          <w:sz w:val="32"/>
          <w:szCs w:val="32"/>
        </w:rPr>
        <w:t>（一）非法转让绿松石采矿权；</w:t>
      </w:r>
    </w:p>
    <w:p>
      <w:pPr>
        <w:ind w:firstLine="628" w:firstLineChars="200"/>
        <w:rPr>
          <w:rFonts w:ascii="仿宋" w:hAnsi="仿宋" w:eastAsia="仿宋"/>
          <w:sz w:val="32"/>
          <w:szCs w:val="32"/>
        </w:rPr>
      </w:pPr>
      <w:r>
        <w:rPr>
          <w:rFonts w:hint="eastAsia" w:ascii="仿宋" w:hAnsi="仿宋" w:eastAsia="仿宋"/>
          <w:sz w:val="32"/>
          <w:szCs w:val="32"/>
        </w:rPr>
        <w:t>（二）超过批准的期限开采绿松石资源；</w:t>
      </w:r>
    </w:p>
    <w:p>
      <w:pPr>
        <w:ind w:firstLine="628" w:firstLineChars="200"/>
        <w:rPr>
          <w:rFonts w:ascii="仿宋" w:hAnsi="仿宋" w:eastAsia="仿宋"/>
          <w:sz w:val="32"/>
          <w:szCs w:val="32"/>
        </w:rPr>
      </w:pPr>
      <w:r>
        <w:rPr>
          <w:rFonts w:hint="eastAsia" w:ascii="仿宋" w:hAnsi="仿宋" w:eastAsia="仿宋"/>
          <w:sz w:val="32"/>
          <w:szCs w:val="32"/>
        </w:rPr>
        <w:t>（三）超越批准的矿区范围开采绿松石资源；</w:t>
      </w:r>
    </w:p>
    <w:p>
      <w:pPr>
        <w:ind w:firstLine="628" w:firstLineChars="200"/>
        <w:rPr>
          <w:rFonts w:ascii="仿宋" w:hAnsi="仿宋" w:eastAsia="仿宋"/>
          <w:sz w:val="32"/>
          <w:szCs w:val="32"/>
        </w:rPr>
      </w:pPr>
      <w:r>
        <w:rPr>
          <w:rFonts w:hint="eastAsia" w:ascii="仿宋" w:hAnsi="仿宋" w:eastAsia="仿宋"/>
          <w:sz w:val="32"/>
          <w:szCs w:val="32"/>
        </w:rPr>
        <w:t>（四）以破坏性方法开采绿松石资源；</w:t>
      </w:r>
    </w:p>
    <w:p>
      <w:pPr>
        <w:ind w:firstLine="628" w:firstLineChars="200"/>
        <w:rPr>
          <w:rFonts w:ascii="仿宋" w:hAnsi="仿宋" w:eastAsia="仿宋"/>
          <w:sz w:val="32"/>
          <w:szCs w:val="32"/>
        </w:rPr>
      </w:pPr>
      <w:r>
        <w:rPr>
          <w:rFonts w:hint="eastAsia" w:ascii="仿宋" w:hAnsi="仿宋" w:eastAsia="仿宋"/>
          <w:sz w:val="32"/>
          <w:szCs w:val="32"/>
        </w:rPr>
        <w:t>（五）造成矿山地质环境破坏或者诱发地质灾害；</w:t>
      </w:r>
    </w:p>
    <w:p>
      <w:pPr>
        <w:ind w:firstLine="628" w:firstLineChars="200"/>
        <w:rPr>
          <w:rFonts w:ascii="仿宋" w:hAnsi="仿宋" w:eastAsia="仿宋"/>
          <w:sz w:val="32"/>
          <w:szCs w:val="32"/>
        </w:rPr>
      </w:pPr>
      <w:r>
        <w:rPr>
          <w:rFonts w:hint="eastAsia" w:ascii="仿宋" w:hAnsi="仿宋" w:eastAsia="仿宋"/>
          <w:sz w:val="32"/>
          <w:szCs w:val="32"/>
        </w:rPr>
        <w:t>（六）水、大气、土壤、林业、固体废物的污染防治与环境保护以及土地管理、安全生产、水土保持、矿产资源、自然保护区、风景名胜区等法律法规禁止的其他相关行为。</w:t>
      </w:r>
    </w:p>
    <w:p>
      <w:pPr>
        <w:ind w:firstLine="628" w:firstLineChars="200"/>
        <w:rPr>
          <w:rFonts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禁止任何单位和个人实施以下行为：</w:t>
      </w:r>
    </w:p>
    <w:p>
      <w:pPr>
        <w:ind w:firstLine="628" w:firstLineChars="200"/>
        <w:rPr>
          <w:rFonts w:ascii="仿宋" w:hAnsi="仿宋" w:eastAsia="仿宋"/>
          <w:sz w:val="32"/>
          <w:szCs w:val="32"/>
        </w:rPr>
      </w:pPr>
      <w:r>
        <w:rPr>
          <w:rFonts w:hint="eastAsia" w:ascii="仿宋" w:hAnsi="仿宋" w:eastAsia="仿宋"/>
          <w:sz w:val="32"/>
          <w:szCs w:val="32"/>
        </w:rPr>
        <w:t>（一）未经批准、擅自开采绿松石资源，持其它矿种勘查许可证、以采代探绿松石资源，持其它矿种采矿许可证开采绿松石资源，利用工程建设、爆破、采石、取土等活动开采绿松石资源；</w:t>
      </w:r>
    </w:p>
    <w:p>
      <w:pPr>
        <w:ind w:firstLine="628" w:firstLineChars="200"/>
        <w:rPr>
          <w:rFonts w:ascii="仿宋" w:hAnsi="仿宋" w:eastAsia="仿宋"/>
          <w:sz w:val="32"/>
          <w:szCs w:val="32"/>
        </w:rPr>
      </w:pPr>
      <w:r>
        <w:rPr>
          <w:rFonts w:hint="eastAsia" w:ascii="仿宋" w:hAnsi="仿宋" w:eastAsia="仿宋"/>
          <w:sz w:val="32"/>
          <w:szCs w:val="32"/>
        </w:rPr>
        <w:t>（二）为非法开采绿松石资源提供加工、运输、仓储等协助行为，为非法开采绿松石资源行为提供土地、经营场所、设施、工具、水电等要素；</w:t>
      </w:r>
    </w:p>
    <w:p>
      <w:pPr>
        <w:ind w:firstLine="628" w:firstLineChars="200"/>
        <w:rPr>
          <w:rFonts w:ascii="仿宋" w:hAnsi="仿宋" w:eastAsia="仿宋"/>
          <w:sz w:val="32"/>
          <w:szCs w:val="32"/>
        </w:rPr>
      </w:pPr>
      <w:r>
        <w:rPr>
          <w:rFonts w:hint="eastAsia" w:ascii="仿宋" w:hAnsi="仿宋" w:eastAsia="仿宋"/>
          <w:sz w:val="32"/>
          <w:szCs w:val="32"/>
        </w:rPr>
        <w:t>（三）进入依法设立的矿区范围内私挖、盗采、擅自捡拾绿松石原矿；</w:t>
      </w:r>
    </w:p>
    <w:p>
      <w:pPr>
        <w:ind w:firstLine="628" w:firstLineChars="200"/>
        <w:rPr>
          <w:rFonts w:ascii="仿宋" w:hAnsi="仿宋" w:eastAsia="仿宋"/>
          <w:sz w:val="32"/>
          <w:szCs w:val="32"/>
        </w:rPr>
      </w:pPr>
      <w:r>
        <w:rPr>
          <w:rFonts w:hint="eastAsia" w:ascii="仿宋" w:hAnsi="仿宋" w:eastAsia="仿宋"/>
          <w:sz w:val="32"/>
          <w:szCs w:val="32"/>
        </w:rPr>
        <w:t>（四）盗窃、哄抢绿松石矿区企业的矿产品，破坏采矿设施，扰乱作业区生产秩序和矿山工作秩序；</w:t>
      </w:r>
    </w:p>
    <w:p>
      <w:pPr>
        <w:ind w:firstLine="628" w:firstLineChars="200"/>
        <w:rPr>
          <w:rFonts w:ascii="仿宋" w:hAnsi="仿宋" w:eastAsia="仿宋"/>
          <w:sz w:val="32"/>
          <w:szCs w:val="32"/>
        </w:rPr>
      </w:pPr>
      <w:r>
        <w:rPr>
          <w:rFonts w:hint="eastAsia" w:ascii="仿宋" w:hAnsi="仿宋" w:eastAsia="仿宋"/>
          <w:sz w:val="32"/>
          <w:szCs w:val="32"/>
        </w:rPr>
        <w:t>（五）法律法规禁止的其他相关行为。</w:t>
      </w:r>
    </w:p>
    <w:p>
      <w:pPr>
        <w:ind w:firstLine="628" w:firstLineChars="200"/>
        <w:rPr>
          <w:rFonts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鼓励单位和个人对违法勘查、开采、破坏绿松石资源等行为进行举报，县自然资源及其他相关主管部门应当及时调查处理，经查证属实的，对举报人给予适当奖励。</w:t>
      </w:r>
    </w:p>
    <w:p>
      <w:pPr>
        <w:ind w:firstLine="628"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第十二条</w:t>
      </w:r>
      <w:r>
        <w:rPr>
          <w:rFonts w:hint="eastAsia" w:ascii="仿宋" w:hAnsi="仿宋" w:eastAsia="仿宋"/>
          <w:color w:val="000000" w:themeColor="text1"/>
          <w:sz w:val="32"/>
          <w:szCs w:val="32"/>
          <w14:textFill>
            <w14:solidFill>
              <w14:schemeClr w14:val="tx1"/>
            </w14:solidFill>
          </w14:textFill>
        </w:rPr>
        <w:t xml:space="preserve"> 因绿松石资源开采造成生态环境损害的单位或者个人应当承担生态环境损害赔偿责任，生态环境损害赔偿工作按照法律法规的有关规定开展。县人民政府可以指定自然资源、生态环境、农业农村、林业等相关主管部门负责各自职责范围内的生态环境损害赔偿具体工作，依法提起诉讼。各相关部门支持县人民检察院依法对破坏绿松石矿山生态环境等损害社会公共利益的行为提起公益诉讼。</w:t>
      </w:r>
    </w:p>
    <w:p>
      <w:pPr>
        <w:spacing w:beforeLines="100" w:afterLines="100"/>
        <w:jc w:val="center"/>
        <w:rPr>
          <w:rFonts w:ascii="仿宋" w:hAnsi="仿宋" w:eastAsia="仿宋"/>
          <w:sz w:val="36"/>
          <w:szCs w:val="36"/>
        </w:rPr>
      </w:pPr>
      <w:r>
        <w:rPr>
          <w:rFonts w:hint="eastAsia" w:ascii="仿宋" w:hAnsi="仿宋" w:eastAsia="仿宋"/>
          <w:b/>
          <w:sz w:val="36"/>
          <w:szCs w:val="36"/>
        </w:rPr>
        <w:t>第三章 绿松石资源交易与经营管理</w:t>
      </w:r>
    </w:p>
    <w:p>
      <w:pPr>
        <w:ind w:firstLine="628"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第十三条</w:t>
      </w:r>
      <w:r>
        <w:rPr>
          <w:rFonts w:ascii="仿宋" w:hAnsi="仿宋" w:eastAsia="仿宋"/>
          <w:color w:val="000000" w:themeColor="text1"/>
          <w:sz w:val="32"/>
          <w:szCs w:val="32"/>
          <w14:textFill>
            <w14:solidFill>
              <w14:schemeClr w14:val="tx1"/>
            </w14:solidFill>
          </w14:textFill>
        </w:rPr>
        <w:t xml:space="preserve"> 从事绿松石交易的企业和个人须凭白河县绿松石行业协会会员证，经协会办理《绿松石原矿准运单》后，到宝石</w:t>
      </w:r>
      <w:r>
        <w:rPr>
          <w:rFonts w:hint="eastAsia" w:ascii="仿宋" w:hAnsi="仿宋" w:eastAsia="仿宋"/>
          <w:sz w:val="32"/>
          <w:szCs w:val="32"/>
        </w:rPr>
        <w:t>文化产业园区</w:t>
      </w:r>
      <w:r>
        <w:rPr>
          <w:rFonts w:ascii="仿宋" w:hAnsi="仿宋" w:eastAsia="仿宋"/>
          <w:color w:val="000000" w:themeColor="text1"/>
          <w:sz w:val="32"/>
          <w:szCs w:val="32"/>
          <w14:textFill>
            <w14:solidFill>
              <w14:schemeClr w14:val="tx1"/>
            </w14:solidFill>
          </w14:textFill>
        </w:rPr>
        <w:t>交易绿松石原石。</w:t>
      </w:r>
    </w:p>
    <w:p>
      <w:pPr>
        <w:ind w:firstLine="628" w:firstLineChars="200"/>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第十四条</w:t>
      </w:r>
      <w:r>
        <w:rPr>
          <w:rFonts w:hint="eastAsia"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333333"/>
          <w:sz w:val="32"/>
          <w:szCs w:val="32"/>
          <w:shd w:val="clear" w:color="auto" w:fill="FFFFFF"/>
        </w:rPr>
        <w:t>绿松石矿山企业开采出的绿松石原石，必须由企业落实监管人员对绿松石原石编号、拍照、称重、铅封、运送至</w:t>
      </w:r>
      <w:r>
        <w:rPr>
          <w:rFonts w:ascii="仿宋" w:hAnsi="仿宋" w:eastAsia="仿宋"/>
          <w:color w:val="000000" w:themeColor="text1"/>
          <w:sz w:val="32"/>
          <w:szCs w:val="32"/>
          <w14:textFill>
            <w14:solidFill>
              <w14:schemeClr w14:val="tx1"/>
            </w14:solidFill>
          </w14:textFill>
        </w:rPr>
        <w:t>宝石</w:t>
      </w:r>
      <w:r>
        <w:rPr>
          <w:rFonts w:hint="eastAsia" w:ascii="仿宋" w:hAnsi="仿宋" w:eastAsia="仿宋"/>
          <w:sz w:val="32"/>
          <w:szCs w:val="32"/>
        </w:rPr>
        <w:t>文化产业园区</w:t>
      </w:r>
      <w:r>
        <w:rPr>
          <w:rFonts w:hint="eastAsia" w:ascii="仿宋" w:hAnsi="仿宋" w:eastAsia="仿宋"/>
          <w:color w:val="333333"/>
          <w:sz w:val="32"/>
          <w:szCs w:val="32"/>
          <w:shd w:val="clear" w:color="auto" w:fill="FFFFFF"/>
        </w:rPr>
        <w:t>固定仓库进行存储；所有开采出的绿松石原石必须在</w:t>
      </w:r>
      <w:r>
        <w:rPr>
          <w:rFonts w:ascii="仿宋" w:hAnsi="仿宋" w:eastAsia="仿宋"/>
          <w:color w:val="000000" w:themeColor="text1"/>
          <w:sz w:val="32"/>
          <w:szCs w:val="32"/>
          <w14:textFill>
            <w14:solidFill>
              <w14:schemeClr w14:val="tx1"/>
            </w14:solidFill>
          </w14:textFill>
        </w:rPr>
        <w:t>宝石</w:t>
      </w:r>
      <w:r>
        <w:rPr>
          <w:rFonts w:hint="eastAsia" w:ascii="仿宋" w:hAnsi="仿宋" w:eastAsia="仿宋"/>
          <w:sz w:val="32"/>
          <w:szCs w:val="32"/>
        </w:rPr>
        <w:t>文化产业园区</w:t>
      </w:r>
      <w:r>
        <w:rPr>
          <w:rFonts w:hint="eastAsia" w:ascii="仿宋" w:hAnsi="仿宋" w:eastAsia="仿宋"/>
          <w:color w:val="333333"/>
          <w:sz w:val="32"/>
          <w:szCs w:val="32"/>
          <w:shd w:val="clear" w:color="auto" w:fill="FFFFFF"/>
        </w:rPr>
        <w:t>进行公开交易；</w:t>
      </w:r>
      <w:r>
        <w:rPr>
          <w:rFonts w:hint="eastAsia" w:ascii="仿宋" w:hAnsi="仿宋" w:eastAsia="仿宋"/>
          <w:color w:val="000000" w:themeColor="text1"/>
          <w:sz w:val="32"/>
          <w:szCs w:val="32"/>
          <w:shd w:val="clear" w:color="auto" w:fill="FFFFFF"/>
          <w14:textFill>
            <w14:solidFill>
              <w14:schemeClr w14:val="tx1"/>
            </w14:solidFill>
          </w14:textFill>
        </w:rPr>
        <w:t>对不按要求入库、窝藏、私自转移销售的绿松石原石的情形，由市场监督管理等部门依法监督管理,规范市场秩序；对情节严重的，责令停产整顿，并将案件移送司法机关处理。</w:t>
      </w:r>
    </w:p>
    <w:p>
      <w:pPr>
        <w:ind w:firstLine="628" w:firstLineChars="200"/>
        <w:rPr>
          <w:rFonts w:ascii="仿宋" w:hAnsi="仿宋" w:eastAsia="仿宋"/>
          <w:color w:val="333333"/>
          <w:sz w:val="32"/>
          <w:szCs w:val="32"/>
          <w:shd w:val="clear" w:color="auto" w:fill="FFFFFF"/>
        </w:rPr>
      </w:pPr>
      <w:r>
        <w:rPr>
          <w:rFonts w:hint="eastAsia" w:ascii="仿宋" w:hAnsi="仿宋" w:eastAsia="仿宋"/>
          <w:b/>
          <w:color w:val="333333"/>
          <w:sz w:val="32"/>
          <w:szCs w:val="32"/>
          <w:shd w:val="clear" w:color="auto" w:fill="FFFFFF"/>
        </w:rPr>
        <w:t>第十五条</w:t>
      </w:r>
      <w:r>
        <w:rPr>
          <w:rFonts w:hint="eastAsia" w:ascii="仿宋" w:hAnsi="仿宋" w:eastAsia="仿宋"/>
          <w:color w:val="333333"/>
          <w:sz w:val="32"/>
          <w:szCs w:val="32"/>
          <w:shd w:val="clear" w:color="auto" w:fill="FFFFFF"/>
        </w:rPr>
        <w:t xml:space="preserve"> 白河县绿松石加工经营户必须在</w:t>
      </w:r>
      <w:r>
        <w:rPr>
          <w:rFonts w:ascii="仿宋" w:hAnsi="仿宋" w:eastAsia="仿宋"/>
          <w:color w:val="000000" w:themeColor="text1"/>
          <w:sz w:val="32"/>
          <w:szCs w:val="32"/>
          <w14:textFill>
            <w14:solidFill>
              <w14:schemeClr w14:val="tx1"/>
            </w14:solidFill>
          </w14:textFill>
        </w:rPr>
        <w:t>宝石</w:t>
      </w:r>
      <w:r>
        <w:rPr>
          <w:rFonts w:hint="eastAsia" w:ascii="仿宋" w:hAnsi="仿宋" w:eastAsia="仿宋"/>
          <w:sz w:val="32"/>
          <w:szCs w:val="32"/>
        </w:rPr>
        <w:t>文化产业园区</w:t>
      </w:r>
      <w:r>
        <w:rPr>
          <w:rFonts w:hint="eastAsia" w:ascii="仿宋" w:hAnsi="仿宋" w:eastAsia="仿宋"/>
          <w:color w:val="333333"/>
          <w:sz w:val="32"/>
          <w:szCs w:val="32"/>
          <w:shd w:val="clear" w:color="auto" w:fill="FFFFFF"/>
        </w:rPr>
        <w:t>购买加工所需的绿松石原石，对从非法渠道获得的无编号、无铅封的绿松石原石，由相关主管部门依法监管，并给予相应处罚；对情节严重的，依法吊销其经营许可证，并将案件移送司法机关处理。</w:t>
      </w:r>
    </w:p>
    <w:p>
      <w:pPr>
        <w:ind w:firstLine="628" w:firstLineChars="200"/>
        <w:rPr>
          <w:rStyle w:val="6"/>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color w:val="333333"/>
          <w:sz w:val="32"/>
          <w:szCs w:val="32"/>
          <w:shd w:val="clear" w:color="auto" w:fill="FFFFFF"/>
        </w:rPr>
        <w:t>第十六条</w:t>
      </w:r>
      <w:r>
        <w:rPr>
          <w:rFonts w:hint="eastAsia" w:ascii="仿宋" w:hAnsi="仿宋" w:eastAsia="仿宋"/>
          <w:color w:val="333333"/>
          <w:sz w:val="32"/>
          <w:szCs w:val="32"/>
          <w:shd w:val="clear" w:color="auto" w:fill="FFFFFF"/>
        </w:rPr>
        <w:t xml:space="preserve"> 外地绿松石原石进入白河境内时，须提前到协会办理绿松石原石准运单，对其原石进行登记、编号、拍照、称重、铅封后，运至</w:t>
      </w:r>
      <w:r>
        <w:rPr>
          <w:rFonts w:ascii="仿宋" w:hAnsi="仿宋" w:eastAsia="仿宋"/>
          <w:color w:val="000000" w:themeColor="text1"/>
          <w:sz w:val="32"/>
          <w:szCs w:val="32"/>
          <w14:textFill>
            <w14:solidFill>
              <w14:schemeClr w14:val="tx1"/>
            </w14:solidFill>
          </w14:textFill>
        </w:rPr>
        <w:t>宝石</w:t>
      </w:r>
      <w:r>
        <w:rPr>
          <w:rFonts w:hint="eastAsia" w:ascii="仿宋" w:hAnsi="仿宋" w:eastAsia="仿宋"/>
          <w:sz w:val="32"/>
          <w:szCs w:val="32"/>
        </w:rPr>
        <w:t>文化产业园区</w:t>
      </w:r>
      <w:r>
        <w:rPr>
          <w:rFonts w:hint="eastAsia" w:ascii="仿宋" w:hAnsi="仿宋" w:eastAsia="仿宋"/>
          <w:color w:val="333333"/>
          <w:sz w:val="32"/>
          <w:szCs w:val="32"/>
          <w:shd w:val="clear" w:color="auto" w:fill="FFFFFF"/>
        </w:rPr>
        <w:t>进行公开交易，由市场监督管理等部门</w:t>
      </w:r>
      <w:r>
        <w:rPr>
          <w:rFonts w:hint="eastAsia" w:ascii="仿宋" w:hAnsi="仿宋" w:eastAsia="仿宋"/>
          <w:color w:val="000000" w:themeColor="text1"/>
          <w:sz w:val="32"/>
          <w:szCs w:val="32"/>
          <w:shd w:val="clear" w:color="auto" w:fill="FFFFFF"/>
          <w14:textFill>
            <w14:solidFill>
              <w14:schemeClr w14:val="tx1"/>
            </w14:solidFill>
          </w14:textFill>
        </w:rPr>
        <w:t>依法开展监督管理</w:t>
      </w:r>
      <w:r>
        <w:rPr>
          <w:rFonts w:hint="eastAsia" w:ascii="仿宋" w:hAnsi="仿宋" w:eastAsia="仿宋"/>
          <w:color w:val="333333"/>
          <w:sz w:val="32"/>
          <w:szCs w:val="32"/>
          <w:shd w:val="clear" w:color="auto" w:fill="FFFFFF"/>
        </w:rPr>
        <w:t>。</w:t>
      </w:r>
    </w:p>
    <w:p>
      <w:pPr>
        <w:ind w:firstLine="628" w:firstLineChars="200"/>
        <w:rPr>
          <w:rStyle w:val="6"/>
          <w:rFonts w:ascii="仿宋" w:hAnsi="仿宋" w:eastAsia="仿宋"/>
          <w:b w:val="0"/>
          <w:bCs w:val="0"/>
          <w:sz w:val="32"/>
          <w:szCs w:val="32"/>
        </w:rPr>
      </w:pPr>
      <w:r>
        <w:rPr>
          <w:rStyle w:val="6"/>
          <w:rFonts w:hint="eastAsia" w:ascii="仿宋" w:hAnsi="仿宋" w:eastAsia="仿宋"/>
          <w:bCs w:val="0"/>
          <w:sz w:val="32"/>
          <w:szCs w:val="32"/>
        </w:rPr>
        <w:t>第十七条</w:t>
      </w:r>
      <w:r>
        <w:rPr>
          <w:rStyle w:val="6"/>
          <w:rFonts w:ascii="仿宋" w:hAnsi="仿宋" w:eastAsia="仿宋"/>
          <w:b w:val="0"/>
          <w:bCs w:val="0"/>
          <w:sz w:val="32"/>
          <w:szCs w:val="32"/>
        </w:rPr>
        <w:t xml:space="preserve"> 绿松石产品经营者应当按照国家有关标准和规定，正确标注绿松石产品的名称、规格、价格，向消费者提供产品质量检测证书和发票，不得以假充真、以次充好。在市场内配置必要的宝玉石检测鉴定机构，推动绿松石产业高质量发展。</w:t>
      </w:r>
    </w:p>
    <w:p>
      <w:pPr>
        <w:ind w:firstLine="628" w:firstLineChars="200"/>
        <w:rPr>
          <w:rStyle w:val="6"/>
          <w:rFonts w:ascii="仿宋" w:hAnsi="仿宋" w:eastAsia="仿宋"/>
          <w:b w:val="0"/>
          <w:bCs w:val="0"/>
          <w:sz w:val="32"/>
          <w:szCs w:val="32"/>
        </w:rPr>
      </w:pPr>
      <w:r>
        <w:rPr>
          <w:rStyle w:val="6"/>
          <w:rFonts w:hint="eastAsia" w:ascii="仿宋" w:hAnsi="仿宋" w:eastAsia="仿宋"/>
          <w:bCs w:val="0"/>
          <w:sz w:val="32"/>
          <w:szCs w:val="32"/>
        </w:rPr>
        <w:t>第十八条</w:t>
      </w:r>
      <w:r>
        <w:rPr>
          <w:rStyle w:val="6"/>
          <w:rFonts w:ascii="仿宋" w:hAnsi="仿宋" w:eastAsia="仿宋"/>
          <w:b w:val="0"/>
          <w:bCs w:val="0"/>
          <w:sz w:val="32"/>
          <w:szCs w:val="32"/>
        </w:rPr>
        <w:t xml:space="preserve"> 协会和相关职能部门对从事绿松石开采、加工、经营的企业和业主办理的各种证件实行年审制。</w:t>
      </w:r>
    </w:p>
    <w:p>
      <w:pPr>
        <w:spacing w:beforeLines="100" w:afterLines="100"/>
        <w:jc w:val="center"/>
        <w:rPr>
          <w:rFonts w:ascii="仿宋" w:hAnsi="仿宋" w:eastAsia="仿宋"/>
          <w:b/>
          <w:bCs/>
          <w:sz w:val="36"/>
          <w:szCs w:val="36"/>
        </w:rPr>
      </w:pPr>
      <w:r>
        <w:rPr>
          <w:rFonts w:hint="eastAsia" w:ascii="仿宋" w:hAnsi="仿宋" w:eastAsia="仿宋"/>
          <w:b/>
          <w:bCs/>
          <w:sz w:val="36"/>
          <w:szCs w:val="36"/>
        </w:rPr>
        <w:t>第四章</w:t>
      </w:r>
      <w:r>
        <w:rPr>
          <w:rFonts w:ascii="仿宋" w:hAnsi="仿宋" w:eastAsia="仿宋"/>
          <w:b/>
          <w:bCs/>
          <w:sz w:val="36"/>
          <w:szCs w:val="36"/>
        </w:rPr>
        <w:t xml:space="preserve"> 绿松石资源税收管理</w:t>
      </w:r>
    </w:p>
    <w:p>
      <w:pPr>
        <w:ind w:firstLine="628" w:firstLineChars="200"/>
        <w:rPr>
          <w:rFonts w:ascii="仿宋" w:hAnsi="仿宋" w:eastAsia="仿宋"/>
          <w:sz w:val="32"/>
          <w:szCs w:val="32"/>
        </w:rPr>
      </w:pPr>
      <w:r>
        <w:rPr>
          <w:rFonts w:hint="eastAsia" w:ascii="仿宋" w:hAnsi="仿宋" w:eastAsia="仿宋"/>
          <w:b/>
          <w:sz w:val="32"/>
          <w:szCs w:val="32"/>
        </w:rPr>
        <w:t>第十九条</w:t>
      </w:r>
      <w:r>
        <w:rPr>
          <w:rFonts w:ascii="仿宋" w:hAnsi="仿宋" w:eastAsia="仿宋"/>
          <w:sz w:val="32"/>
          <w:szCs w:val="32"/>
        </w:rPr>
        <w:t xml:space="preserve"> 税务部门要重视和加强绿松石产业的税收分析，抓好纳税人的户籍管理，按照科学化、精细化管理的要求，强化税收征管，优化纳税服务。</w:t>
      </w:r>
    </w:p>
    <w:p>
      <w:pPr>
        <w:ind w:firstLine="628" w:firstLineChars="200"/>
        <w:rPr>
          <w:rFonts w:ascii="仿宋" w:hAnsi="仿宋" w:eastAsia="仿宋"/>
          <w:sz w:val="32"/>
          <w:szCs w:val="32"/>
        </w:rPr>
      </w:pPr>
      <w:r>
        <w:rPr>
          <w:rFonts w:hint="eastAsia" w:ascii="仿宋" w:hAnsi="仿宋" w:eastAsia="仿宋"/>
          <w:b/>
          <w:sz w:val="32"/>
          <w:szCs w:val="32"/>
        </w:rPr>
        <w:t>第二十条</w:t>
      </w:r>
      <w:r>
        <w:rPr>
          <w:rFonts w:hint="eastAsia" w:ascii="仿宋" w:hAnsi="仿宋" w:eastAsia="仿宋"/>
          <w:sz w:val="32"/>
          <w:szCs w:val="32"/>
        </w:rPr>
        <w:t xml:space="preserve"> </w:t>
      </w:r>
      <w:r>
        <w:rPr>
          <w:rFonts w:ascii="仿宋" w:hAnsi="仿宋" w:eastAsia="仿宋"/>
          <w:sz w:val="32"/>
          <w:szCs w:val="32"/>
        </w:rPr>
        <w:t>绿松石开采、加工、经营企业及个人，要依法办理税务登记，领用发票，履行纳税义务。纳税人未按照规定的期限办理纳税申报和报送纳税资料的，或者扣缴义务人未按照规定的期限向税务机关报送代扣代缴、代收代缴税款报表和有关资料的，由税务机关依照《中华人民共和国税收征收管理法》和相关法律法规，予以相应处罚，情节严重涉嫌犯罪的，依法移交司法机关处理。</w:t>
      </w:r>
    </w:p>
    <w:p>
      <w:pPr>
        <w:ind w:firstLine="628" w:firstLineChars="200"/>
        <w:rPr>
          <w:rFonts w:ascii="仿宋" w:hAnsi="仿宋" w:eastAsia="仿宋"/>
          <w:sz w:val="32"/>
          <w:szCs w:val="32"/>
        </w:rPr>
      </w:pPr>
      <w:r>
        <w:rPr>
          <w:rFonts w:hint="eastAsia" w:ascii="仿宋" w:hAnsi="仿宋" w:eastAsia="仿宋"/>
          <w:b/>
          <w:sz w:val="32"/>
          <w:szCs w:val="32"/>
        </w:rPr>
        <w:t xml:space="preserve">第二十一条 </w:t>
      </w:r>
      <w:r>
        <w:rPr>
          <w:rFonts w:hint="eastAsia" w:ascii="仿宋" w:hAnsi="仿宋" w:eastAsia="仿宋"/>
          <w:sz w:val="32"/>
          <w:szCs w:val="32"/>
        </w:rPr>
        <w:t>对违反《中华人民共和国税收征收管理法》的行为，在税务机关作出处罚的基础上，将其不良行为记入企业和个人诚信档案，作为年度评级授信的重要依据。</w:t>
      </w:r>
    </w:p>
    <w:p>
      <w:pPr>
        <w:ind w:firstLine="628" w:firstLineChars="200"/>
        <w:rPr>
          <w:rFonts w:ascii="仿宋" w:hAnsi="仿宋" w:eastAsia="仿宋"/>
          <w:sz w:val="32"/>
          <w:szCs w:val="32"/>
        </w:rPr>
      </w:pPr>
      <w:r>
        <w:rPr>
          <w:rFonts w:hint="eastAsia" w:ascii="仿宋" w:hAnsi="仿宋" w:eastAsia="仿宋"/>
          <w:b/>
          <w:sz w:val="32"/>
          <w:szCs w:val="32"/>
        </w:rPr>
        <w:t>第二十二条</w:t>
      </w:r>
      <w:r>
        <w:rPr>
          <w:rFonts w:ascii="仿宋" w:hAnsi="仿宋" w:eastAsia="仿宋"/>
          <w:sz w:val="32"/>
          <w:szCs w:val="32"/>
        </w:rPr>
        <w:t xml:space="preserve"> 各相关管理部门要按照《支持税务工作助力地方经济高质量发展备忘录》定期向税务部门提供有关数据和信息。</w:t>
      </w:r>
    </w:p>
    <w:p>
      <w:pPr>
        <w:spacing w:beforeLines="100" w:afterLines="100"/>
        <w:jc w:val="center"/>
        <w:rPr>
          <w:rFonts w:ascii="仿宋" w:hAnsi="仿宋" w:eastAsia="仿宋"/>
          <w:b/>
          <w:bCs/>
          <w:sz w:val="36"/>
          <w:szCs w:val="36"/>
        </w:rPr>
      </w:pPr>
      <w:r>
        <w:rPr>
          <w:rFonts w:hint="eastAsia" w:ascii="仿宋" w:hAnsi="仿宋" w:eastAsia="仿宋"/>
          <w:b/>
          <w:bCs/>
          <w:sz w:val="36"/>
          <w:szCs w:val="36"/>
        </w:rPr>
        <w:t>第五章</w:t>
      </w:r>
      <w:r>
        <w:rPr>
          <w:rFonts w:ascii="仿宋" w:hAnsi="仿宋" w:eastAsia="仿宋"/>
          <w:b/>
          <w:bCs/>
          <w:sz w:val="36"/>
          <w:szCs w:val="36"/>
        </w:rPr>
        <w:t xml:space="preserve"> 绿松石地理标志产品保护管理</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sz w:val="32"/>
          <w:szCs w:val="32"/>
        </w:rPr>
        <w:t>第二十三条</w:t>
      </w:r>
      <w:r>
        <w:rPr>
          <w:rFonts w:ascii="仿宋" w:hAnsi="仿宋" w:eastAsia="仿宋"/>
          <w:sz w:val="32"/>
          <w:szCs w:val="32"/>
        </w:rPr>
        <w:t xml:space="preserve"> 依据《国家质量监督检验检疫总局公告》（2010年第17号），</w:t>
      </w:r>
      <w:r>
        <w:rPr>
          <w:rFonts w:hint="eastAsia" w:ascii="仿宋" w:hAnsi="仿宋" w:eastAsia="仿宋"/>
          <w:sz w:val="32"/>
          <w:szCs w:val="32"/>
        </w:rPr>
        <w:t>白河县</w:t>
      </w:r>
      <w:r>
        <w:rPr>
          <w:rFonts w:ascii="仿宋" w:hAnsi="仿宋" w:eastAsia="仿宋"/>
          <w:sz w:val="32"/>
          <w:szCs w:val="32"/>
        </w:rPr>
        <w:t>绿松石</w:t>
      </w:r>
      <w:r>
        <w:rPr>
          <w:rFonts w:hint="eastAsia" w:ascii="仿宋" w:hAnsi="仿宋" w:eastAsia="仿宋"/>
          <w:sz w:val="32"/>
          <w:szCs w:val="32"/>
        </w:rPr>
        <w:t>地理标志</w:t>
      </w:r>
      <w:r>
        <w:rPr>
          <w:rFonts w:ascii="仿宋" w:hAnsi="仿宋" w:eastAsia="仿宋"/>
          <w:sz w:val="32"/>
          <w:szCs w:val="32"/>
        </w:rPr>
        <w:t>产品保护范围是</w:t>
      </w:r>
      <w:r>
        <w:rPr>
          <w:rFonts w:hint="eastAsia" w:ascii="仿宋" w:hAnsi="仿宋" w:eastAsia="仿宋"/>
          <w:sz w:val="32"/>
          <w:szCs w:val="32"/>
        </w:rPr>
        <w:t>陕西省白河</w:t>
      </w:r>
      <w:r>
        <w:rPr>
          <w:rFonts w:ascii="仿宋" w:hAnsi="仿宋" w:eastAsia="仿宋"/>
          <w:sz w:val="32"/>
          <w:szCs w:val="32"/>
        </w:rPr>
        <w:t>县辖区的绿松石原石及其产成品。</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sz w:val="32"/>
          <w:szCs w:val="32"/>
        </w:rPr>
        <w:t>第二十四条</w:t>
      </w:r>
      <w:r>
        <w:rPr>
          <w:rFonts w:hint="eastAsia" w:ascii="仿宋" w:hAnsi="仿宋" w:eastAsia="仿宋"/>
          <w:sz w:val="32"/>
          <w:szCs w:val="32"/>
        </w:rPr>
        <w:t xml:space="preserve"> 市场监督管理部门</w:t>
      </w:r>
      <w:r>
        <w:rPr>
          <w:rFonts w:ascii="仿宋" w:hAnsi="仿宋" w:eastAsia="仿宋"/>
          <w:sz w:val="32"/>
          <w:szCs w:val="32"/>
        </w:rPr>
        <w:t>负责制定、发布</w:t>
      </w:r>
      <w:r>
        <w:rPr>
          <w:rFonts w:hint="eastAsia" w:ascii="仿宋" w:hAnsi="仿宋" w:eastAsia="仿宋"/>
          <w:sz w:val="32"/>
          <w:szCs w:val="32"/>
        </w:rPr>
        <w:t>、受理白河县绿松石</w:t>
      </w:r>
      <w:r>
        <w:rPr>
          <w:rFonts w:ascii="仿宋" w:hAnsi="仿宋" w:eastAsia="仿宋"/>
          <w:sz w:val="32"/>
          <w:szCs w:val="32"/>
        </w:rPr>
        <w:t>专用标识管理办法和</w:t>
      </w:r>
      <w:r>
        <w:rPr>
          <w:rFonts w:hint="eastAsia" w:ascii="仿宋" w:hAnsi="仿宋" w:eastAsia="仿宋"/>
          <w:sz w:val="32"/>
          <w:szCs w:val="32"/>
        </w:rPr>
        <w:t>使用管理</w:t>
      </w:r>
      <w:r>
        <w:rPr>
          <w:rFonts w:ascii="仿宋" w:hAnsi="仿宋" w:eastAsia="仿宋"/>
          <w:sz w:val="32"/>
          <w:szCs w:val="32"/>
        </w:rPr>
        <w:t>，组织开展绿松石产品质量的评定工作，受理生产经营者提出的地理标志产品专用标志使用申请，严格按照地理标志产品管理规定实施监督管理。</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sz w:val="32"/>
          <w:szCs w:val="32"/>
        </w:rPr>
        <w:t>第二十五条</w:t>
      </w:r>
      <w:r>
        <w:rPr>
          <w:rFonts w:hint="eastAsia" w:ascii="仿宋" w:hAnsi="仿宋" w:eastAsia="仿宋"/>
          <w:sz w:val="32"/>
          <w:szCs w:val="32"/>
        </w:rPr>
        <w:t xml:space="preserve"> 白河县</w:t>
      </w:r>
      <w:r>
        <w:rPr>
          <w:rFonts w:ascii="仿宋" w:hAnsi="仿宋" w:eastAsia="仿宋"/>
          <w:sz w:val="32"/>
          <w:szCs w:val="32"/>
        </w:rPr>
        <w:t>绿松石加工企业和业主使用国家地理标志产品专用标志应当符合法律法规、国家标准、行业标准及地方标准要求。</w:t>
      </w:r>
    </w:p>
    <w:p>
      <w:pPr>
        <w:spacing w:beforeLines="100" w:afterLines="100"/>
        <w:jc w:val="center"/>
        <w:rPr>
          <w:rFonts w:ascii="仿宋" w:hAnsi="仿宋" w:eastAsia="仿宋"/>
          <w:b/>
          <w:bCs/>
          <w:sz w:val="36"/>
          <w:szCs w:val="36"/>
        </w:rPr>
      </w:pPr>
      <w:r>
        <w:rPr>
          <w:rFonts w:hint="eastAsia" w:ascii="仿宋" w:hAnsi="仿宋" w:eastAsia="仿宋"/>
          <w:b/>
          <w:bCs/>
          <w:sz w:val="36"/>
          <w:szCs w:val="36"/>
        </w:rPr>
        <w:t>第六章</w:t>
      </w:r>
      <w:r>
        <w:rPr>
          <w:rFonts w:ascii="仿宋" w:hAnsi="仿宋" w:eastAsia="仿宋"/>
          <w:b/>
          <w:bCs/>
          <w:sz w:val="36"/>
          <w:szCs w:val="36"/>
        </w:rPr>
        <w:t xml:space="preserve"> 法律责任</w:t>
      </w:r>
    </w:p>
    <w:p>
      <w:pPr>
        <w:ind w:firstLine="628" w:firstLineChars="200"/>
        <w:rPr>
          <w:rFonts w:ascii="仿宋" w:hAnsi="仿宋" w:eastAsia="仿宋"/>
          <w:sz w:val="32"/>
          <w:szCs w:val="32"/>
        </w:rPr>
      </w:pPr>
      <w:r>
        <w:rPr>
          <w:rFonts w:hint="eastAsia" w:ascii="仿宋" w:hAnsi="仿宋" w:eastAsia="仿宋"/>
          <w:b/>
          <w:sz w:val="32"/>
          <w:szCs w:val="32"/>
        </w:rPr>
        <w:t>第二十六条</w:t>
      </w:r>
      <w:r>
        <w:rPr>
          <w:rFonts w:hint="eastAsia" w:ascii="仿宋" w:hAnsi="仿宋" w:eastAsia="仿宋"/>
          <w:sz w:val="32"/>
          <w:szCs w:val="32"/>
        </w:rPr>
        <w:t xml:space="preserve"> </w:t>
      </w:r>
      <w:r>
        <w:rPr>
          <w:rFonts w:hint="eastAsia" w:ascii="仿宋" w:hAnsi="仿宋" w:eastAsia="仿宋"/>
          <w:color w:val="333333"/>
          <w:sz w:val="32"/>
          <w:szCs w:val="32"/>
          <w:shd w:val="clear" w:color="auto" w:fill="FFFFFF"/>
        </w:rPr>
        <w:t>以暴力、威胁方法阻碍从事矿产资源勘查、开采监督管理工作的国家工作人员依法执行公务的，由公安机关依照《中华人民共和国治安管理处罚法》处罚；构成犯罪的，依法追究刑事责任。</w:t>
      </w:r>
    </w:p>
    <w:p>
      <w:pPr>
        <w:ind w:firstLine="628" w:firstLineChars="200"/>
        <w:rPr>
          <w:rFonts w:ascii="仿宋" w:hAnsi="仿宋" w:eastAsia="仿宋"/>
          <w:sz w:val="32"/>
          <w:szCs w:val="32"/>
        </w:rPr>
      </w:pPr>
      <w:r>
        <w:rPr>
          <w:rFonts w:hint="eastAsia" w:ascii="仿宋" w:hAnsi="仿宋" w:eastAsia="仿宋"/>
          <w:b/>
          <w:color w:val="333333"/>
          <w:sz w:val="32"/>
          <w:szCs w:val="32"/>
          <w:shd w:val="clear" w:color="auto" w:fill="FFFFFF"/>
        </w:rPr>
        <w:t>第二十七条</w:t>
      </w:r>
      <w:r>
        <w:rPr>
          <w:rFonts w:hint="eastAsia" w:ascii="仿宋" w:hAnsi="仿宋" w:eastAsia="仿宋"/>
          <w:color w:val="333333"/>
          <w:sz w:val="32"/>
          <w:szCs w:val="32"/>
          <w:shd w:val="clear" w:color="auto" w:fill="FFFFFF"/>
        </w:rPr>
        <w:t xml:space="preserve"> </w:t>
      </w:r>
      <w:r>
        <w:rPr>
          <w:rFonts w:ascii="仿宋" w:hAnsi="仿宋" w:eastAsia="仿宋"/>
          <w:sz w:val="32"/>
          <w:szCs w:val="32"/>
        </w:rPr>
        <w:t>当事人对行政处罚不服的，可以依法申请行政复议，也可以直接向人民法院提起诉讼。逾期不申请行政复议或不提起诉讼，又不履行处罚决定的，由作出行政处罚决定的机关申请人民法院强制执行。</w:t>
      </w:r>
    </w:p>
    <w:p>
      <w:pPr>
        <w:ind w:firstLine="628" w:firstLineChars="200"/>
        <w:rPr>
          <w:rFonts w:ascii="仿宋" w:hAnsi="仿宋" w:eastAsia="仿宋"/>
          <w:sz w:val="32"/>
          <w:szCs w:val="32"/>
        </w:rPr>
      </w:pPr>
      <w:r>
        <w:rPr>
          <w:rFonts w:hint="eastAsia" w:ascii="仿宋" w:hAnsi="仿宋" w:eastAsia="仿宋"/>
          <w:b/>
          <w:sz w:val="32"/>
          <w:szCs w:val="32"/>
        </w:rPr>
        <w:t>第二十八条</w:t>
      </w:r>
      <w:r>
        <w:rPr>
          <w:rFonts w:hint="eastAsia" w:ascii="仿宋" w:hAnsi="仿宋" w:eastAsia="仿宋"/>
          <w:sz w:val="32"/>
          <w:szCs w:val="32"/>
        </w:rPr>
        <w:t xml:space="preserve"> 国家机关工作人员在绿松石资源保护管理工作中玩忽职守、滥用职权、徇私舞弊的，由其所在单位、上级主管部门或者监察机关进行处置；构成犯罪的，依法追究刑事责任。</w:t>
      </w:r>
    </w:p>
    <w:p>
      <w:pPr>
        <w:ind w:firstLine="628" w:firstLineChars="200"/>
        <w:rPr>
          <w:rFonts w:ascii="仿宋" w:hAnsi="仿宋" w:eastAsia="仿宋"/>
          <w:sz w:val="32"/>
          <w:szCs w:val="32"/>
        </w:rPr>
      </w:pPr>
      <w:r>
        <w:rPr>
          <w:rFonts w:hint="eastAsia" w:ascii="仿宋" w:hAnsi="仿宋" w:eastAsia="仿宋"/>
          <w:b/>
          <w:sz w:val="32"/>
          <w:szCs w:val="32"/>
        </w:rPr>
        <w:t>第二十九条</w:t>
      </w:r>
      <w:r>
        <w:rPr>
          <w:rFonts w:hint="eastAsia" w:ascii="仿宋" w:hAnsi="仿宋" w:eastAsia="仿宋"/>
          <w:sz w:val="32"/>
          <w:szCs w:val="32"/>
        </w:rPr>
        <w:t xml:space="preserve"> 违反本办法规定的行为，法律法规已有规定的，从其规定。</w:t>
      </w:r>
    </w:p>
    <w:p>
      <w:pPr>
        <w:spacing w:beforeLines="100" w:afterLines="100"/>
        <w:jc w:val="center"/>
        <w:rPr>
          <w:rFonts w:ascii="仿宋" w:hAnsi="仿宋" w:eastAsia="仿宋"/>
          <w:b/>
          <w:sz w:val="32"/>
          <w:szCs w:val="32"/>
        </w:rPr>
      </w:pPr>
      <w:r>
        <w:rPr>
          <w:rFonts w:hint="eastAsia" w:ascii="仿宋" w:hAnsi="仿宋" w:eastAsia="仿宋"/>
          <w:b/>
          <w:sz w:val="32"/>
          <w:szCs w:val="32"/>
        </w:rPr>
        <w:t>第六章 附 则</w:t>
      </w:r>
    </w:p>
    <w:p>
      <w:pPr>
        <w:ind w:firstLine="628" w:firstLineChars="200"/>
        <w:rPr>
          <w:rFonts w:ascii="仿宋" w:hAnsi="仿宋" w:eastAsia="仿宋"/>
          <w:sz w:val="32"/>
          <w:szCs w:val="32"/>
        </w:rPr>
      </w:pPr>
      <w:r>
        <w:rPr>
          <w:rFonts w:hint="eastAsia" w:ascii="仿宋" w:hAnsi="仿宋" w:eastAsia="仿宋"/>
          <w:b/>
          <w:sz w:val="32"/>
          <w:szCs w:val="32"/>
        </w:rPr>
        <w:t>第三十条</w:t>
      </w:r>
      <w:r>
        <w:rPr>
          <w:rFonts w:hint="eastAsia" w:ascii="仿宋" w:hAnsi="仿宋" w:eastAsia="仿宋"/>
          <w:sz w:val="32"/>
          <w:szCs w:val="32"/>
        </w:rPr>
        <w:t xml:space="preserve"> 本办法自</w:t>
      </w:r>
      <w:r>
        <w:rPr>
          <w:rFonts w:ascii="仿宋" w:hAnsi="仿宋" w:eastAsia="仿宋"/>
          <w:sz w:val="32"/>
          <w:szCs w:val="32"/>
        </w:rPr>
        <w:t>2023年</w:t>
      </w:r>
      <w:r>
        <w:rPr>
          <w:rFonts w:hint="eastAsia" w:ascii="仿宋" w:hAnsi="仿宋" w:eastAsia="仿宋"/>
          <w:sz w:val="32"/>
          <w:szCs w:val="32"/>
        </w:rPr>
        <w:t>5</w:t>
      </w:r>
      <w:r>
        <w:rPr>
          <w:rFonts w:ascii="仿宋" w:hAnsi="仿宋" w:eastAsia="仿宋"/>
          <w:sz w:val="32"/>
          <w:szCs w:val="32"/>
        </w:rPr>
        <w:t>月1日施行</w:t>
      </w:r>
      <w:r>
        <w:rPr>
          <w:rFonts w:hint="eastAsia" w:ascii="仿宋" w:hAnsi="仿宋" w:eastAsia="仿宋"/>
          <w:sz w:val="32"/>
          <w:szCs w:val="32"/>
        </w:rPr>
        <w:t>，有效期至2025年5月1日止。</w:t>
      </w:r>
    </w:p>
    <w:sectPr>
      <w:footerReference r:id="rId3" w:type="default"/>
      <w:pgSz w:w="11906" w:h="16838"/>
      <w:pgMar w:top="2154" w:right="1531" w:bottom="2041" w:left="1587" w:header="851" w:footer="992" w:gutter="0"/>
      <w:cols w:space="0" w:num="1"/>
      <w:rtlGutter w:val="0"/>
      <w:docGrid w:type="linesAndChars" w:linePitch="574" w:charSpace="-1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3841451"/>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7"/>
  <w:drawingGridVerticalSpacing w:val="28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0MTUyMzBjMTVhY2JjNGY2ZDc4YThkODlhNjE1ODIifQ=="/>
  </w:docVars>
  <w:rsids>
    <w:rsidRoot w:val="004344E8"/>
    <w:rsid w:val="000056AE"/>
    <w:rsid w:val="00005AD7"/>
    <w:rsid w:val="00020C57"/>
    <w:rsid w:val="0003270D"/>
    <w:rsid w:val="00033572"/>
    <w:rsid w:val="00034982"/>
    <w:rsid w:val="000376C7"/>
    <w:rsid w:val="00054D78"/>
    <w:rsid w:val="00066376"/>
    <w:rsid w:val="00070996"/>
    <w:rsid w:val="000753B2"/>
    <w:rsid w:val="00080023"/>
    <w:rsid w:val="00082365"/>
    <w:rsid w:val="000A501A"/>
    <w:rsid w:val="000B2EE1"/>
    <w:rsid w:val="000C7A3A"/>
    <w:rsid w:val="000D09A6"/>
    <w:rsid w:val="000D591A"/>
    <w:rsid w:val="00105A9C"/>
    <w:rsid w:val="00123DB8"/>
    <w:rsid w:val="0013080B"/>
    <w:rsid w:val="00133B3F"/>
    <w:rsid w:val="00143693"/>
    <w:rsid w:val="001501F6"/>
    <w:rsid w:val="00151EBA"/>
    <w:rsid w:val="00152503"/>
    <w:rsid w:val="001552B9"/>
    <w:rsid w:val="00170BF3"/>
    <w:rsid w:val="0018491C"/>
    <w:rsid w:val="0019713C"/>
    <w:rsid w:val="001A10B9"/>
    <w:rsid w:val="001C0396"/>
    <w:rsid w:val="001C771C"/>
    <w:rsid w:val="0020037D"/>
    <w:rsid w:val="00204FFF"/>
    <w:rsid w:val="00211BF3"/>
    <w:rsid w:val="002158DE"/>
    <w:rsid w:val="00217F37"/>
    <w:rsid w:val="00235D0D"/>
    <w:rsid w:val="002366A5"/>
    <w:rsid w:val="002707BF"/>
    <w:rsid w:val="002732A5"/>
    <w:rsid w:val="002A0880"/>
    <w:rsid w:val="002B4F30"/>
    <w:rsid w:val="002C3FFE"/>
    <w:rsid w:val="002D6E33"/>
    <w:rsid w:val="002E1442"/>
    <w:rsid w:val="002E6B7E"/>
    <w:rsid w:val="00303D02"/>
    <w:rsid w:val="00323779"/>
    <w:rsid w:val="00343079"/>
    <w:rsid w:val="00345A9B"/>
    <w:rsid w:val="00351440"/>
    <w:rsid w:val="00361CB0"/>
    <w:rsid w:val="00377380"/>
    <w:rsid w:val="003A31E8"/>
    <w:rsid w:val="003B09F8"/>
    <w:rsid w:val="003B34E2"/>
    <w:rsid w:val="003C0F62"/>
    <w:rsid w:val="003D1414"/>
    <w:rsid w:val="003D2F61"/>
    <w:rsid w:val="003D5175"/>
    <w:rsid w:val="00401F0D"/>
    <w:rsid w:val="004344E8"/>
    <w:rsid w:val="00441FCF"/>
    <w:rsid w:val="004709A4"/>
    <w:rsid w:val="00493FD8"/>
    <w:rsid w:val="004A0E1A"/>
    <w:rsid w:val="004A129F"/>
    <w:rsid w:val="004A6FDC"/>
    <w:rsid w:val="004B2010"/>
    <w:rsid w:val="004B2E84"/>
    <w:rsid w:val="004D07D6"/>
    <w:rsid w:val="004D1CEA"/>
    <w:rsid w:val="004E1B97"/>
    <w:rsid w:val="004E3516"/>
    <w:rsid w:val="004E7F20"/>
    <w:rsid w:val="004F48AC"/>
    <w:rsid w:val="004F49F5"/>
    <w:rsid w:val="005003F8"/>
    <w:rsid w:val="00504F7A"/>
    <w:rsid w:val="00520B76"/>
    <w:rsid w:val="005255E5"/>
    <w:rsid w:val="00532346"/>
    <w:rsid w:val="00542C11"/>
    <w:rsid w:val="00564D7D"/>
    <w:rsid w:val="00574350"/>
    <w:rsid w:val="00582684"/>
    <w:rsid w:val="005840B5"/>
    <w:rsid w:val="005B29F4"/>
    <w:rsid w:val="005B6FA2"/>
    <w:rsid w:val="005B7F7F"/>
    <w:rsid w:val="005C2164"/>
    <w:rsid w:val="005C56A4"/>
    <w:rsid w:val="005D0640"/>
    <w:rsid w:val="00600565"/>
    <w:rsid w:val="00603A5D"/>
    <w:rsid w:val="00605671"/>
    <w:rsid w:val="006119D4"/>
    <w:rsid w:val="0061679B"/>
    <w:rsid w:val="00626ADA"/>
    <w:rsid w:val="00631E62"/>
    <w:rsid w:val="00633DD3"/>
    <w:rsid w:val="006406C1"/>
    <w:rsid w:val="00646589"/>
    <w:rsid w:val="00662AA2"/>
    <w:rsid w:val="00667A47"/>
    <w:rsid w:val="00687018"/>
    <w:rsid w:val="00687FB9"/>
    <w:rsid w:val="006936B4"/>
    <w:rsid w:val="00693D3F"/>
    <w:rsid w:val="006B1B6D"/>
    <w:rsid w:val="006B7BFD"/>
    <w:rsid w:val="006C3060"/>
    <w:rsid w:val="006D37DF"/>
    <w:rsid w:val="006D3A5C"/>
    <w:rsid w:val="006D575C"/>
    <w:rsid w:val="006F25BA"/>
    <w:rsid w:val="006F413E"/>
    <w:rsid w:val="007057F2"/>
    <w:rsid w:val="007060CF"/>
    <w:rsid w:val="00727714"/>
    <w:rsid w:val="00737812"/>
    <w:rsid w:val="00743A0C"/>
    <w:rsid w:val="00747FB7"/>
    <w:rsid w:val="00773D52"/>
    <w:rsid w:val="0078139C"/>
    <w:rsid w:val="00781E59"/>
    <w:rsid w:val="00793575"/>
    <w:rsid w:val="007A4F30"/>
    <w:rsid w:val="007B1B58"/>
    <w:rsid w:val="007B248E"/>
    <w:rsid w:val="007B538C"/>
    <w:rsid w:val="007C2BCB"/>
    <w:rsid w:val="007C5DB3"/>
    <w:rsid w:val="007D39C9"/>
    <w:rsid w:val="00801CF5"/>
    <w:rsid w:val="00813499"/>
    <w:rsid w:val="00826245"/>
    <w:rsid w:val="00843EE3"/>
    <w:rsid w:val="00850CD2"/>
    <w:rsid w:val="00851CA4"/>
    <w:rsid w:val="00856CD4"/>
    <w:rsid w:val="00877E25"/>
    <w:rsid w:val="00892977"/>
    <w:rsid w:val="008A36ED"/>
    <w:rsid w:val="008C5E1C"/>
    <w:rsid w:val="008D4C7D"/>
    <w:rsid w:val="008E19B0"/>
    <w:rsid w:val="008F0D0A"/>
    <w:rsid w:val="00904378"/>
    <w:rsid w:val="00904A06"/>
    <w:rsid w:val="00907EF7"/>
    <w:rsid w:val="00927191"/>
    <w:rsid w:val="0094755B"/>
    <w:rsid w:val="0095683B"/>
    <w:rsid w:val="009622B6"/>
    <w:rsid w:val="00973898"/>
    <w:rsid w:val="00977254"/>
    <w:rsid w:val="00990715"/>
    <w:rsid w:val="009A13A4"/>
    <w:rsid w:val="009B79D5"/>
    <w:rsid w:val="009C51B2"/>
    <w:rsid w:val="009D43F9"/>
    <w:rsid w:val="009D486F"/>
    <w:rsid w:val="009D4E8E"/>
    <w:rsid w:val="009F4985"/>
    <w:rsid w:val="00A10DC2"/>
    <w:rsid w:val="00A154AC"/>
    <w:rsid w:val="00A202B4"/>
    <w:rsid w:val="00A25A57"/>
    <w:rsid w:val="00A30A9F"/>
    <w:rsid w:val="00A357DA"/>
    <w:rsid w:val="00A476C0"/>
    <w:rsid w:val="00A5061F"/>
    <w:rsid w:val="00A5794C"/>
    <w:rsid w:val="00A70A4F"/>
    <w:rsid w:val="00A75249"/>
    <w:rsid w:val="00A75990"/>
    <w:rsid w:val="00A76DC3"/>
    <w:rsid w:val="00A87D0B"/>
    <w:rsid w:val="00A918E0"/>
    <w:rsid w:val="00A96B3E"/>
    <w:rsid w:val="00AA2821"/>
    <w:rsid w:val="00AA6F82"/>
    <w:rsid w:val="00AC3689"/>
    <w:rsid w:val="00AD1148"/>
    <w:rsid w:val="00B13D1B"/>
    <w:rsid w:val="00B13F6D"/>
    <w:rsid w:val="00B175EF"/>
    <w:rsid w:val="00B252C1"/>
    <w:rsid w:val="00B406D5"/>
    <w:rsid w:val="00B42FC8"/>
    <w:rsid w:val="00B63F61"/>
    <w:rsid w:val="00B97261"/>
    <w:rsid w:val="00BB0FBE"/>
    <w:rsid w:val="00BB2953"/>
    <w:rsid w:val="00BD08B1"/>
    <w:rsid w:val="00BD7CD2"/>
    <w:rsid w:val="00BE7844"/>
    <w:rsid w:val="00C06A26"/>
    <w:rsid w:val="00C150BE"/>
    <w:rsid w:val="00C20458"/>
    <w:rsid w:val="00C26847"/>
    <w:rsid w:val="00C3010F"/>
    <w:rsid w:val="00C42AEF"/>
    <w:rsid w:val="00C662CE"/>
    <w:rsid w:val="00C666FE"/>
    <w:rsid w:val="00C7274D"/>
    <w:rsid w:val="00C82535"/>
    <w:rsid w:val="00CA63D2"/>
    <w:rsid w:val="00CC0E08"/>
    <w:rsid w:val="00CE1AAE"/>
    <w:rsid w:val="00D03651"/>
    <w:rsid w:val="00D167DF"/>
    <w:rsid w:val="00D2196A"/>
    <w:rsid w:val="00D27C78"/>
    <w:rsid w:val="00D3064D"/>
    <w:rsid w:val="00D31D7C"/>
    <w:rsid w:val="00D4167F"/>
    <w:rsid w:val="00D56CF2"/>
    <w:rsid w:val="00D7495E"/>
    <w:rsid w:val="00D80855"/>
    <w:rsid w:val="00D8180C"/>
    <w:rsid w:val="00D871BB"/>
    <w:rsid w:val="00D91DEE"/>
    <w:rsid w:val="00D93369"/>
    <w:rsid w:val="00DB5E81"/>
    <w:rsid w:val="00DC6884"/>
    <w:rsid w:val="00DE244B"/>
    <w:rsid w:val="00DE5818"/>
    <w:rsid w:val="00DE6A9A"/>
    <w:rsid w:val="00E113E6"/>
    <w:rsid w:val="00E157E8"/>
    <w:rsid w:val="00E200A9"/>
    <w:rsid w:val="00E263FC"/>
    <w:rsid w:val="00E52670"/>
    <w:rsid w:val="00E57F08"/>
    <w:rsid w:val="00E66487"/>
    <w:rsid w:val="00E66578"/>
    <w:rsid w:val="00E70C18"/>
    <w:rsid w:val="00E772A2"/>
    <w:rsid w:val="00E834FA"/>
    <w:rsid w:val="00E9216D"/>
    <w:rsid w:val="00E94FF9"/>
    <w:rsid w:val="00E967F4"/>
    <w:rsid w:val="00EB72F3"/>
    <w:rsid w:val="00ED2473"/>
    <w:rsid w:val="00EF7C0A"/>
    <w:rsid w:val="00F00FCA"/>
    <w:rsid w:val="00F07345"/>
    <w:rsid w:val="00F20F17"/>
    <w:rsid w:val="00F9144D"/>
    <w:rsid w:val="00F96608"/>
    <w:rsid w:val="00FA0CA3"/>
    <w:rsid w:val="00FA3139"/>
    <w:rsid w:val="00FA77EC"/>
    <w:rsid w:val="00FB1B9A"/>
    <w:rsid w:val="00FB42C2"/>
    <w:rsid w:val="00FD5A48"/>
    <w:rsid w:val="00FE430E"/>
    <w:rsid w:val="015327C0"/>
    <w:rsid w:val="2E0D528F"/>
    <w:rsid w:val="443D56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uiPriority w:val="99"/>
    <w:pPr>
      <w:spacing w:after="120" w:afterLines="0" w:afterAutospacing="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4E5AD1-0307-40FA-89C8-C5D16A84EE39}">
  <ds:schemaRefs/>
</ds:datastoreItem>
</file>

<file path=docProps/app.xml><?xml version="1.0" encoding="utf-8"?>
<Properties xmlns="http://schemas.openxmlformats.org/officeDocument/2006/extended-properties" xmlns:vt="http://schemas.openxmlformats.org/officeDocument/2006/docPropsVTypes">
  <Template>Normal</Template>
  <Pages>10</Pages>
  <Words>4319</Words>
  <Characters>4329</Characters>
  <Lines>31</Lines>
  <Paragraphs>8</Paragraphs>
  <TotalTime>1183</TotalTime>
  <ScaleCrop>false</ScaleCrop>
  <LinksUpToDate>false</LinksUpToDate>
  <CharactersWithSpaces>4374</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2022-11-14T12:37:00Z</dcterms:created>
  <dc:creator>75346327@qq.com</dc:creator>
  <cp:lastModifiedBy>Administrator</cp:lastModifiedBy>
  <cp:lastPrinted>2023-03-06T06:18:00Z</cp:lastPrinted>
  <dcterms:modified xsi:type="dcterms:W3CDTF">2023-04-06T09:42:09Z</dcterms:modified>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0FEF7662783B4CF8AA3FD3FDBB1BC82E</vt:lpwstr>
  </property>
</Properties>
</file>